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5D5C" w14:textId="77777777" w:rsidR="00103E23" w:rsidRDefault="00771631" w:rsidP="00F25932">
      <w:pPr>
        <w:spacing w:after="0" w:line="360" w:lineRule="auto"/>
        <w:ind w:firstLine="720"/>
        <w:jc w:val="center"/>
        <w:rPr>
          <w:rFonts w:cs="David"/>
          <w:sz w:val="24"/>
          <w:szCs w:val="24"/>
          <w:rtl/>
        </w:rPr>
      </w:pPr>
      <w:r w:rsidRPr="00F25932">
        <w:rPr>
          <w:rFonts w:cs="David" w:hint="cs"/>
          <w:b/>
          <w:bCs/>
          <w:sz w:val="24"/>
          <w:szCs w:val="24"/>
          <w:rtl/>
        </w:rPr>
        <w:t>ייצוגים עצמיים של סטודנטים המשתתפים בקורס "מתורגמנות קהילתית"</w:t>
      </w:r>
    </w:p>
    <w:p w14:paraId="2C127747" w14:textId="77777777" w:rsidR="00F25932" w:rsidRDefault="00F25932" w:rsidP="00F25932">
      <w:pPr>
        <w:spacing w:after="0" w:line="360" w:lineRule="auto"/>
        <w:ind w:firstLine="720"/>
        <w:jc w:val="center"/>
        <w:rPr>
          <w:rFonts w:cs="David"/>
          <w:sz w:val="24"/>
          <w:szCs w:val="24"/>
          <w:rtl/>
        </w:rPr>
      </w:pPr>
      <w:proofErr w:type="spellStart"/>
      <w:r>
        <w:rPr>
          <w:rFonts w:cs="David" w:hint="cs"/>
          <w:sz w:val="24"/>
          <w:szCs w:val="24"/>
          <w:rtl/>
        </w:rPr>
        <w:t>טניה</w:t>
      </w:r>
      <w:proofErr w:type="spellEnd"/>
      <w:r>
        <w:rPr>
          <w:rFonts w:cs="David" w:hint="cs"/>
          <w:sz w:val="24"/>
          <w:szCs w:val="24"/>
          <w:rtl/>
        </w:rPr>
        <w:t xml:space="preserve"> </w:t>
      </w:r>
      <w:proofErr w:type="spellStart"/>
      <w:r>
        <w:rPr>
          <w:rFonts w:cs="David" w:hint="cs"/>
          <w:sz w:val="24"/>
          <w:szCs w:val="24"/>
          <w:rtl/>
        </w:rPr>
        <w:t>ווינובה</w:t>
      </w:r>
      <w:proofErr w:type="spellEnd"/>
    </w:p>
    <w:p w14:paraId="5B76A500" w14:textId="77777777" w:rsidR="00210A91" w:rsidRDefault="00210A91" w:rsidP="00210A91">
      <w:pPr>
        <w:spacing w:after="0" w:line="360" w:lineRule="auto"/>
        <w:ind w:firstLine="720"/>
        <w:jc w:val="center"/>
        <w:rPr>
          <w:rFonts w:cs="David"/>
          <w:sz w:val="24"/>
          <w:szCs w:val="24"/>
          <w:rtl/>
        </w:rPr>
      </w:pPr>
      <w:r>
        <w:rPr>
          <w:rFonts w:cs="David" w:hint="cs"/>
          <w:sz w:val="24"/>
          <w:szCs w:val="24"/>
          <w:rtl/>
        </w:rPr>
        <w:t xml:space="preserve">מנחים: </w:t>
      </w:r>
      <w:r w:rsidRPr="00210A91">
        <w:rPr>
          <w:rFonts w:cs="David" w:hint="cs"/>
          <w:sz w:val="24"/>
          <w:szCs w:val="24"/>
          <w:rtl/>
        </w:rPr>
        <w:t xml:space="preserve">פרופ' יואל </w:t>
      </w:r>
      <w:proofErr w:type="spellStart"/>
      <w:r w:rsidRPr="00210A91">
        <w:rPr>
          <w:rFonts w:cs="David" w:hint="cs"/>
          <w:sz w:val="24"/>
          <w:szCs w:val="24"/>
          <w:rtl/>
        </w:rPr>
        <w:t>וולטרס</w:t>
      </w:r>
      <w:proofErr w:type="spellEnd"/>
      <w:r w:rsidRPr="00210A91">
        <w:rPr>
          <w:rFonts w:cs="David" w:hint="cs"/>
          <w:sz w:val="24"/>
          <w:szCs w:val="24"/>
          <w:rtl/>
        </w:rPr>
        <w:t xml:space="preserve"> </w:t>
      </w:r>
      <w:r>
        <w:rPr>
          <w:rFonts w:cs="David" w:hint="cs"/>
          <w:sz w:val="24"/>
          <w:szCs w:val="24"/>
          <w:rtl/>
        </w:rPr>
        <w:t>ו</w:t>
      </w:r>
      <w:r w:rsidRPr="00210A91">
        <w:rPr>
          <w:rFonts w:cs="David" w:hint="cs"/>
          <w:sz w:val="24"/>
          <w:szCs w:val="24"/>
          <w:rtl/>
        </w:rPr>
        <w:t xml:space="preserve">פרופ' רחל </w:t>
      </w:r>
      <w:proofErr w:type="spellStart"/>
      <w:r w:rsidRPr="00210A91">
        <w:rPr>
          <w:rFonts w:cs="David" w:hint="cs"/>
          <w:sz w:val="24"/>
          <w:szCs w:val="24"/>
          <w:rtl/>
        </w:rPr>
        <w:t>ויסברוד</w:t>
      </w:r>
      <w:proofErr w:type="spellEnd"/>
    </w:p>
    <w:p w14:paraId="71A4D267" w14:textId="77777777" w:rsidR="00210A91" w:rsidRDefault="00210A91" w:rsidP="00210A91">
      <w:pPr>
        <w:spacing w:after="0" w:line="360" w:lineRule="auto"/>
        <w:ind w:firstLine="720"/>
        <w:jc w:val="center"/>
        <w:rPr>
          <w:rFonts w:cs="David"/>
          <w:sz w:val="24"/>
          <w:szCs w:val="24"/>
          <w:rtl/>
        </w:rPr>
      </w:pPr>
      <w:r>
        <w:rPr>
          <w:rFonts w:cs="David" w:hint="cs"/>
          <w:sz w:val="24"/>
          <w:szCs w:val="24"/>
          <w:rtl/>
        </w:rPr>
        <w:t>הוגש: אוקטובר 2017, אושר: מאי 2018</w:t>
      </w:r>
    </w:p>
    <w:p w14:paraId="5B28BEB7" w14:textId="77777777" w:rsidR="00F25932" w:rsidRDefault="00F25932" w:rsidP="00F25932">
      <w:pPr>
        <w:spacing w:after="0" w:line="360" w:lineRule="auto"/>
        <w:ind w:firstLine="720"/>
        <w:jc w:val="center"/>
        <w:rPr>
          <w:rFonts w:cs="David"/>
          <w:sz w:val="24"/>
          <w:szCs w:val="24"/>
          <w:rtl/>
        </w:rPr>
      </w:pPr>
    </w:p>
    <w:p w14:paraId="452951B7" w14:textId="77777777" w:rsidR="00F25932" w:rsidRDefault="00F25932" w:rsidP="00F25932">
      <w:pPr>
        <w:spacing w:after="0" w:line="360" w:lineRule="auto"/>
        <w:rPr>
          <w:rFonts w:cs="David"/>
          <w:b/>
          <w:bCs/>
          <w:sz w:val="24"/>
          <w:szCs w:val="24"/>
          <w:rtl/>
        </w:rPr>
      </w:pPr>
      <w:r>
        <w:rPr>
          <w:rFonts w:cs="David" w:hint="cs"/>
          <w:b/>
          <w:bCs/>
          <w:sz w:val="24"/>
          <w:szCs w:val="24"/>
          <w:rtl/>
        </w:rPr>
        <w:t>תקציר</w:t>
      </w:r>
    </w:p>
    <w:p w14:paraId="5D30AE26" w14:textId="77777777" w:rsidR="00F30F41" w:rsidRPr="00F30F41" w:rsidRDefault="00F30F41" w:rsidP="00F30F41">
      <w:pPr>
        <w:spacing w:after="0" w:line="360" w:lineRule="auto"/>
        <w:ind w:firstLine="720"/>
        <w:jc w:val="both"/>
        <w:rPr>
          <w:rFonts w:cs="David"/>
          <w:sz w:val="24"/>
          <w:szCs w:val="24"/>
          <w:rtl/>
        </w:rPr>
      </w:pPr>
      <w:r w:rsidRPr="00F30F41">
        <w:rPr>
          <w:rFonts w:cs="David" w:hint="cs"/>
          <w:sz w:val="24"/>
          <w:szCs w:val="24"/>
          <w:rtl/>
        </w:rPr>
        <w:t xml:space="preserve">מחקר זה מציע תמונה מורכבת של התנהלותם של </w:t>
      </w:r>
      <w:r w:rsidRPr="00F30F41">
        <w:rPr>
          <w:rFonts w:cs="David"/>
          <w:sz w:val="24"/>
          <w:szCs w:val="24"/>
          <w:rtl/>
        </w:rPr>
        <w:t>סטודנטים המשתתפים בקורס "מתורגמנות קהילתית</w:t>
      </w:r>
      <w:r w:rsidRPr="00F30F41">
        <w:rPr>
          <w:rFonts w:cs="David" w:hint="cs"/>
          <w:sz w:val="24"/>
          <w:szCs w:val="24"/>
          <w:rtl/>
        </w:rPr>
        <w:t xml:space="preserve">" הכולל </w:t>
      </w:r>
      <w:r w:rsidRPr="00F30F41">
        <w:rPr>
          <w:rFonts w:cs="David"/>
          <w:sz w:val="24"/>
          <w:szCs w:val="24"/>
          <w:rtl/>
        </w:rPr>
        <w:t>הכשרה ייעודית בכיתה והתנדבות במתורגמנות קהילתית ב</w:t>
      </w:r>
      <w:r w:rsidRPr="00F30F41">
        <w:rPr>
          <w:rFonts w:cs="David" w:hint="cs"/>
          <w:sz w:val="24"/>
          <w:szCs w:val="24"/>
          <w:rtl/>
        </w:rPr>
        <w:t>מוסדות ציבור ובארגונים חברתיים, על רקע ה</w:t>
      </w:r>
      <w:r w:rsidRPr="00F30F41">
        <w:rPr>
          <w:rFonts w:cs="David"/>
          <w:sz w:val="24"/>
          <w:szCs w:val="24"/>
          <w:rtl/>
        </w:rPr>
        <w:t xml:space="preserve">מצב הדינמי של המתורגמנות הקהילתית, עיסוק מתגבש שטרם מוסד בישראל רבת התרבויות. </w:t>
      </w:r>
      <w:r w:rsidRPr="00F30F41">
        <w:rPr>
          <w:rFonts w:cs="David" w:hint="cs"/>
          <w:sz w:val="24"/>
          <w:szCs w:val="24"/>
          <w:rtl/>
        </w:rPr>
        <w:t xml:space="preserve">מטרתו של המחקר היא </w:t>
      </w:r>
      <w:r w:rsidRPr="00F30F41">
        <w:rPr>
          <w:rFonts w:cs="David"/>
          <w:sz w:val="24"/>
          <w:szCs w:val="24"/>
          <w:rtl/>
        </w:rPr>
        <w:t>לבחון ייצוגים עצמיים ש</w:t>
      </w:r>
      <w:r w:rsidRPr="00F30F41">
        <w:rPr>
          <w:rFonts w:cs="David" w:hint="cs"/>
          <w:sz w:val="24"/>
          <w:szCs w:val="24"/>
          <w:rtl/>
        </w:rPr>
        <w:t xml:space="preserve">הפיקו בכתב ובעל-פה </w:t>
      </w:r>
      <w:r w:rsidRPr="00F30F41">
        <w:rPr>
          <w:rFonts w:cs="David"/>
          <w:sz w:val="24"/>
          <w:szCs w:val="24"/>
          <w:rtl/>
        </w:rPr>
        <w:t>סטודנטים-מתורגמנים</w:t>
      </w:r>
      <w:r w:rsidRPr="00F30F41">
        <w:rPr>
          <w:rFonts w:cs="David" w:hint="cs"/>
          <w:sz w:val="24"/>
          <w:szCs w:val="24"/>
          <w:rtl/>
        </w:rPr>
        <w:t xml:space="preserve"> מארבעה מחזורי הקורס (2012-2009) המתקיים באוניברסיטת בר-אילן</w:t>
      </w:r>
      <w:r w:rsidRPr="00F30F41">
        <w:rPr>
          <w:rFonts w:cs="David"/>
          <w:sz w:val="24"/>
          <w:szCs w:val="24"/>
          <w:rtl/>
        </w:rPr>
        <w:t>, וזאת כדי לענות על שאלות המחקר העיקריות: מה מספרים הסטודנטים-מתורגמנים בייצוגיהם העצמיים, כיצד ומדוע הם מספרים זאת</w:t>
      </w:r>
      <w:r w:rsidRPr="00F30F41">
        <w:rPr>
          <w:rFonts w:cs="David" w:hint="cs"/>
          <w:sz w:val="24"/>
          <w:szCs w:val="24"/>
          <w:rtl/>
        </w:rPr>
        <w:t>.</w:t>
      </w:r>
      <w:r w:rsidRPr="00F30F41">
        <w:rPr>
          <w:rFonts w:cs="David"/>
          <w:sz w:val="24"/>
          <w:szCs w:val="24"/>
          <w:rtl/>
        </w:rPr>
        <w:t xml:space="preserve"> </w:t>
      </w:r>
      <w:r w:rsidRPr="00F30F41">
        <w:rPr>
          <w:rFonts w:cs="David" w:hint="cs"/>
          <w:sz w:val="24"/>
          <w:szCs w:val="24"/>
          <w:rtl/>
        </w:rPr>
        <w:t>ה</w:t>
      </w:r>
      <w:r w:rsidRPr="00F30F41">
        <w:rPr>
          <w:rFonts w:cs="David"/>
          <w:sz w:val="24"/>
          <w:szCs w:val="24"/>
          <w:rtl/>
        </w:rPr>
        <w:t xml:space="preserve">מחקר </w:t>
      </w:r>
      <w:r w:rsidRPr="00F30F41">
        <w:rPr>
          <w:rFonts w:cs="David" w:hint="cs"/>
          <w:sz w:val="24"/>
          <w:szCs w:val="24"/>
          <w:rtl/>
        </w:rPr>
        <w:t>הוא איכותני, וננקטת בו טריאנגולציה בשלוש רמות: ברמת התשתית התיאורטית, ברמת חומרי המחקר וברמת שיטות הניתוח.</w:t>
      </w:r>
    </w:p>
    <w:p w14:paraId="2F95CB63" w14:textId="77777777" w:rsidR="00F30F41" w:rsidRPr="00F30F41" w:rsidRDefault="00F30F41" w:rsidP="00F30F41">
      <w:pPr>
        <w:spacing w:after="0" w:line="360" w:lineRule="auto"/>
        <w:ind w:firstLine="720"/>
        <w:jc w:val="both"/>
        <w:rPr>
          <w:rFonts w:cs="David"/>
          <w:sz w:val="24"/>
          <w:szCs w:val="24"/>
          <w:rtl/>
        </w:rPr>
      </w:pPr>
      <w:r w:rsidRPr="00F30F41">
        <w:rPr>
          <w:rFonts w:cs="David" w:hint="cs"/>
          <w:sz w:val="24"/>
          <w:szCs w:val="24"/>
          <w:rtl/>
        </w:rPr>
        <w:t xml:space="preserve">בפרק הראשון של המחקר מוצגת </w:t>
      </w:r>
      <w:r w:rsidRPr="00F30F41">
        <w:rPr>
          <w:rFonts w:cs="David"/>
          <w:sz w:val="24"/>
          <w:szCs w:val="24"/>
          <w:rtl/>
        </w:rPr>
        <w:t>תשתית</w:t>
      </w:r>
      <w:r w:rsidRPr="00F30F41">
        <w:rPr>
          <w:rFonts w:cs="David" w:hint="cs"/>
          <w:sz w:val="24"/>
          <w:szCs w:val="24"/>
          <w:rtl/>
        </w:rPr>
        <w:t>ו</w:t>
      </w:r>
      <w:r w:rsidRPr="00F30F41">
        <w:rPr>
          <w:rFonts w:cs="David"/>
          <w:sz w:val="24"/>
          <w:szCs w:val="24"/>
          <w:rtl/>
        </w:rPr>
        <w:t xml:space="preserve"> התיאורטית</w:t>
      </w:r>
      <w:r w:rsidRPr="00F30F41">
        <w:rPr>
          <w:rFonts w:cs="David" w:hint="cs"/>
          <w:sz w:val="24"/>
          <w:szCs w:val="24"/>
          <w:rtl/>
        </w:rPr>
        <w:t xml:space="preserve">-מושגית: </w:t>
      </w:r>
      <w:r w:rsidRPr="00F30F41">
        <w:rPr>
          <w:rFonts w:cs="David"/>
          <w:sz w:val="24"/>
          <w:szCs w:val="24"/>
          <w:rtl/>
        </w:rPr>
        <w:t xml:space="preserve">התיאוריה של </w:t>
      </w:r>
      <w:proofErr w:type="spellStart"/>
      <w:r w:rsidRPr="00F30F41">
        <w:rPr>
          <w:rFonts w:cs="David"/>
          <w:sz w:val="24"/>
          <w:szCs w:val="24"/>
          <w:rtl/>
        </w:rPr>
        <w:t>בורדייה</w:t>
      </w:r>
      <w:proofErr w:type="spellEnd"/>
      <w:r w:rsidRPr="00F30F41">
        <w:rPr>
          <w:rFonts w:cs="David"/>
          <w:sz w:val="24"/>
          <w:szCs w:val="24"/>
          <w:rtl/>
        </w:rPr>
        <w:t xml:space="preserve"> ומושגיה </w:t>
      </w:r>
      <w:r w:rsidRPr="00F30F41">
        <w:rPr>
          <w:rFonts w:cs="David" w:hint="cs"/>
          <w:sz w:val="24"/>
          <w:szCs w:val="24"/>
          <w:rtl/>
        </w:rPr>
        <w:t>כגון הביטוס, שדה, הון, ו</w:t>
      </w:r>
      <w:r w:rsidRPr="00F30F41">
        <w:rPr>
          <w:rFonts w:cs="David" w:hint="cs"/>
          <w:b/>
          <w:sz w:val="24"/>
          <w:szCs w:val="24"/>
          <w:rtl/>
        </w:rPr>
        <w:t xml:space="preserve">הגישה הנרטיבית המקובלת במדעי החברה. </w:t>
      </w:r>
      <w:r w:rsidRPr="00F30F41">
        <w:rPr>
          <w:rFonts w:cs="David" w:hint="cs"/>
          <w:sz w:val="24"/>
          <w:szCs w:val="24"/>
          <w:rtl/>
        </w:rPr>
        <w:t xml:space="preserve">ההנחה היא שהייצוגים העצמיים של הסטודנטים-מתורגמנים </w:t>
      </w:r>
      <w:r w:rsidRPr="00F30F41">
        <w:rPr>
          <w:rFonts w:cs="David"/>
          <w:sz w:val="24"/>
          <w:szCs w:val="24"/>
          <w:rtl/>
        </w:rPr>
        <w:t xml:space="preserve">בהקשר של עיסוקם </w:t>
      </w:r>
      <w:r w:rsidRPr="00F30F41">
        <w:rPr>
          <w:rFonts w:cs="David" w:hint="cs"/>
          <w:sz w:val="24"/>
          <w:szCs w:val="24"/>
          <w:rtl/>
        </w:rPr>
        <w:t xml:space="preserve">לא רק </w:t>
      </w:r>
      <w:r w:rsidRPr="00F30F41">
        <w:rPr>
          <w:rFonts w:cs="David"/>
          <w:sz w:val="24"/>
          <w:szCs w:val="24"/>
          <w:rtl/>
        </w:rPr>
        <w:t xml:space="preserve">משקפים </w:t>
      </w:r>
      <w:r w:rsidRPr="00F30F41">
        <w:rPr>
          <w:rFonts w:cs="David" w:hint="cs"/>
          <w:sz w:val="24"/>
          <w:szCs w:val="24"/>
          <w:rtl/>
        </w:rPr>
        <w:t xml:space="preserve">אלא גם </w:t>
      </w:r>
      <w:r w:rsidRPr="00F30F41">
        <w:rPr>
          <w:rFonts w:cs="David"/>
          <w:sz w:val="24"/>
          <w:szCs w:val="24"/>
          <w:rtl/>
        </w:rPr>
        <w:t xml:space="preserve">מבנים אותם כאנשים העוסקים במתורגמנות קהילתית. </w:t>
      </w:r>
      <w:r w:rsidRPr="00F30F41">
        <w:rPr>
          <w:rFonts w:cs="David" w:hint="cs"/>
          <w:sz w:val="24"/>
          <w:szCs w:val="24"/>
          <w:rtl/>
        </w:rPr>
        <w:t>במהלך השתתפותם בקורס, פועלים הסטודנטים במספר שדות, ו</w:t>
      </w:r>
      <w:r w:rsidRPr="00F30F41">
        <w:rPr>
          <w:rFonts w:cs="David"/>
          <w:sz w:val="24"/>
          <w:szCs w:val="24"/>
          <w:rtl/>
        </w:rPr>
        <w:t xml:space="preserve">התנהלותם מונחית באמצעות הביטוס </w:t>
      </w:r>
      <w:r w:rsidRPr="00F30F41">
        <w:rPr>
          <w:rFonts w:cs="David" w:hint="cs"/>
          <w:sz w:val="24"/>
          <w:szCs w:val="24"/>
          <w:rtl/>
        </w:rPr>
        <w:t xml:space="preserve">(נרטיבי) מסוים </w:t>
      </w:r>
      <w:r w:rsidRPr="00F30F41">
        <w:rPr>
          <w:rFonts w:cs="David"/>
          <w:sz w:val="24"/>
          <w:szCs w:val="24"/>
          <w:rtl/>
        </w:rPr>
        <w:t xml:space="preserve">שאינו רק </w:t>
      </w:r>
      <w:proofErr w:type="spellStart"/>
      <w:r w:rsidRPr="00F30F41">
        <w:rPr>
          <w:rFonts w:cs="David"/>
          <w:sz w:val="24"/>
          <w:szCs w:val="24"/>
          <w:rtl/>
        </w:rPr>
        <w:t>מתבנת</w:t>
      </w:r>
      <w:proofErr w:type="spellEnd"/>
      <w:r w:rsidRPr="00F30F41">
        <w:rPr>
          <w:rFonts w:cs="David"/>
          <w:sz w:val="24"/>
          <w:szCs w:val="24"/>
          <w:rtl/>
        </w:rPr>
        <w:t xml:space="preserve"> את </w:t>
      </w:r>
      <w:proofErr w:type="spellStart"/>
      <w:r w:rsidRPr="00F30F41">
        <w:rPr>
          <w:rFonts w:cs="David"/>
          <w:sz w:val="24"/>
          <w:szCs w:val="24"/>
          <w:rtl/>
        </w:rPr>
        <w:t>הפרקטיקות</w:t>
      </w:r>
      <w:proofErr w:type="spellEnd"/>
      <w:r w:rsidRPr="00F30F41">
        <w:rPr>
          <w:rFonts w:cs="David"/>
          <w:sz w:val="24"/>
          <w:szCs w:val="24"/>
          <w:rtl/>
        </w:rPr>
        <w:t xml:space="preserve"> החברתיות</w:t>
      </w:r>
      <w:r w:rsidRPr="00F30F41">
        <w:rPr>
          <w:rFonts w:cs="David" w:hint="cs"/>
          <w:sz w:val="24"/>
          <w:szCs w:val="24"/>
          <w:rtl/>
        </w:rPr>
        <w:t xml:space="preserve"> שלהם</w:t>
      </w:r>
      <w:r w:rsidRPr="00F30F41">
        <w:rPr>
          <w:rFonts w:cs="David"/>
          <w:sz w:val="24"/>
          <w:szCs w:val="24"/>
          <w:rtl/>
        </w:rPr>
        <w:t xml:space="preserve"> ואת דרכי תפיסתן ובה בעת מתובנת על-ידיהן אלא גם </w:t>
      </w:r>
      <w:proofErr w:type="spellStart"/>
      <w:r w:rsidRPr="00F30F41">
        <w:rPr>
          <w:rFonts w:cs="David"/>
          <w:sz w:val="24"/>
          <w:szCs w:val="24"/>
          <w:rtl/>
        </w:rPr>
        <w:t>מתבנת</w:t>
      </w:r>
      <w:proofErr w:type="spellEnd"/>
      <w:r w:rsidRPr="00F30F41">
        <w:rPr>
          <w:rFonts w:cs="David"/>
          <w:sz w:val="24"/>
          <w:szCs w:val="24"/>
          <w:rtl/>
        </w:rPr>
        <w:t xml:space="preserve"> את ייצוגיהם העצמיים</w:t>
      </w:r>
      <w:r w:rsidRPr="00F30F41">
        <w:rPr>
          <w:rFonts w:cs="David" w:hint="cs"/>
          <w:sz w:val="24"/>
          <w:szCs w:val="24"/>
          <w:rtl/>
        </w:rPr>
        <w:t xml:space="preserve">, </w:t>
      </w:r>
      <w:r w:rsidRPr="00F30F41">
        <w:rPr>
          <w:rFonts w:cs="David"/>
          <w:sz w:val="24"/>
          <w:szCs w:val="24"/>
          <w:rtl/>
        </w:rPr>
        <w:t xml:space="preserve">על אודות </w:t>
      </w:r>
      <w:proofErr w:type="spellStart"/>
      <w:r w:rsidRPr="00F30F41">
        <w:rPr>
          <w:rFonts w:cs="David"/>
          <w:sz w:val="24"/>
          <w:szCs w:val="24"/>
          <w:rtl/>
        </w:rPr>
        <w:t>הפרקטיקות</w:t>
      </w:r>
      <w:proofErr w:type="spellEnd"/>
      <w:r w:rsidRPr="00F30F41">
        <w:rPr>
          <w:rFonts w:cs="David" w:hint="cs"/>
          <w:sz w:val="24"/>
          <w:szCs w:val="24"/>
          <w:rtl/>
        </w:rPr>
        <w:t>,</w:t>
      </w:r>
      <w:r w:rsidRPr="00F30F41">
        <w:rPr>
          <w:rFonts w:cs="David"/>
          <w:sz w:val="24"/>
          <w:szCs w:val="24"/>
          <w:rtl/>
        </w:rPr>
        <w:t xml:space="preserve"> ובה בעת מתובנת על-ידי ייצוגים עצמיים אלה. </w:t>
      </w:r>
      <w:r w:rsidRPr="00F30F41">
        <w:rPr>
          <w:rFonts w:cs="David" w:hint="cs"/>
          <w:sz w:val="24"/>
          <w:szCs w:val="24"/>
          <w:rtl/>
        </w:rPr>
        <w:t>בנוסף, בפרק זה נסקרת הספרות הרלוונטית מחקר התרגום והמתורגמנות.</w:t>
      </w:r>
    </w:p>
    <w:p w14:paraId="20A857CE" w14:textId="77777777" w:rsidR="00F30F41" w:rsidRPr="00F30F41" w:rsidRDefault="00F30F41" w:rsidP="00F30F41">
      <w:pPr>
        <w:spacing w:after="0" w:line="360" w:lineRule="auto"/>
        <w:ind w:firstLine="720"/>
        <w:jc w:val="both"/>
        <w:rPr>
          <w:rFonts w:cs="David"/>
          <w:sz w:val="24"/>
          <w:szCs w:val="24"/>
          <w:rtl/>
        </w:rPr>
      </w:pPr>
      <w:r w:rsidRPr="00F30F41">
        <w:rPr>
          <w:rFonts w:cs="David" w:hint="cs"/>
          <w:sz w:val="24"/>
          <w:szCs w:val="24"/>
          <w:rtl/>
        </w:rPr>
        <w:t>ב</w:t>
      </w:r>
      <w:r w:rsidRPr="00F30F41">
        <w:rPr>
          <w:rFonts w:cs="David"/>
          <w:sz w:val="24"/>
          <w:szCs w:val="24"/>
          <w:rtl/>
        </w:rPr>
        <w:t xml:space="preserve">פרק השני </w:t>
      </w:r>
      <w:r w:rsidRPr="00F30F41">
        <w:rPr>
          <w:rFonts w:cs="David" w:hint="cs"/>
          <w:sz w:val="24"/>
          <w:szCs w:val="24"/>
          <w:rtl/>
        </w:rPr>
        <w:t>מוצג</w:t>
      </w:r>
      <w:r w:rsidRPr="00F30F41">
        <w:rPr>
          <w:rFonts w:cs="David"/>
          <w:sz w:val="24"/>
          <w:szCs w:val="24"/>
          <w:rtl/>
        </w:rPr>
        <w:t xml:space="preserve"> רקע היסטורי-הקשרי</w:t>
      </w:r>
      <w:r w:rsidRPr="00F30F41">
        <w:rPr>
          <w:rFonts w:cs="David" w:hint="cs"/>
          <w:sz w:val="24"/>
          <w:szCs w:val="24"/>
          <w:rtl/>
        </w:rPr>
        <w:t>,</w:t>
      </w:r>
      <w:r w:rsidRPr="00F30F41">
        <w:rPr>
          <w:rFonts w:cs="David"/>
          <w:sz w:val="24"/>
          <w:szCs w:val="24"/>
          <w:rtl/>
        </w:rPr>
        <w:t xml:space="preserve"> ה</w:t>
      </w:r>
      <w:r w:rsidRPr="00F30F41">
        <w:rPr>
          <w:rFonts w:cs="David" w:hint="cs"/>
          <w:sz w:val="24"/>
          <w:szCs w:val="24"/>
          <w:rtl/>
        </w:rPr>
        <w:t>נחוץ</w:t>
      </w:r>
      <w:r w:rsidRPr="00F30F41">
        <w:rPr>
          <w:rFonts w:cs="David"/>
          <w:sz w:val="24"/>
          <w:szCs w:val="24"/>
          <w:rtl/>
        </w:rPr>
        <w:t xml:space="preserve"> להבנת מקרה המבחן</w:t>
      </w:r>
      <w:r w:rsidRPr="00F30F41">
        <w:rPr>
          <w:rFonts w:cs="David" w:hint="cs"/>
          <w:sz w:val="24"/>
          <w:szCs w:val="24"/>
          <w:rtl/>
        </w:rPr>
        <w:t xml:space="preserve">, </w:t>
      </w:r>
      <w:r w:rsidRPr="00F30F41">
        <w:rPr>
          <w:rFonts w:cs="David"/>
          <w:sz w:val="24"/>
          <w:szCs w:val="24"/>
          <w:rtl/>
        </w:rPr>
        <w:t>על ישראל רבת התרבויות ו</w:t>
      </w:r>
      <w:r w:rsidRPr="00F30F41">
        <w:rPr>
          <w:rFonts w:cs="David" w:hint="cs"/>
          <w:sz w:val="24"/>
          <w:szCs w:val="24"/>
          <w:rtl/>
        </w:rPr>
        <w:t xml:space="preserve">על </w:t>
      </w:r>
      <w:r w:rsidRPr="00F30F41">
        <w:rPr>
          <w:rFonts w:cs="David"/>
          <w:sz w:val="24"/>
          <w:szCs w:val="24"/>
          <w:rtl/>
        </w:rPr>
        <w:t>מצב</w:t>
      </w:r>
      <w:r w:rsidRPr="00F30F41">
        <w:rPr>
          <w:rFonts w:cs="David" w:hint="cs"/>
          <w:sz w:val="24"/>
          <w:szCs w:val="24"/>
          <w:rtl/>
        </w:rPr>
        <w:t>ן</w:t>
      </w:r>
      <w:r w:rsidRPr="00F30F41">
        <w:rPr>
          <w:rFonts w:cs="David"/>
          <w:sz w:val="24"/>
          <w:szCs w:val="24"/>
          <w:rtl/>
        </w:rPr>
        <w:t xml:space="preserve"> של ההנגשה הלשונית והמתורגמנות הקהילתית בישראל</w:t>
      </w:r>
      <w:r w:rsidRPr="00F30F41">
        <w:rPr>
          <w:rFonts w:cs="David" w:hint="cs"/>
          <w:sz w:val="24"/>
          <w:szCs w:val="24"/>
          <w:rtl/>
        </w:rPr>
        <w:t xml:space="preserve">. </w:t>
      </w:r>
      <w:r w:rsidRPr="00F30F41">
        <w:rPr>
          <w:rFonts w:cs="David"/>
          <w:sz w:val="24"/>
          <w:szCs w:val="24"/>
          <w:rtl/>
        </w:rPr>
        <w:t>בישראל, מדינה פריפרית (בהקשר גלובלי) שבה מתגורר</w:t>
      </w:r>
      <w:r w:rsidRPr="00F30F41">
        <w:rPr>
          <w:rFonts w:cs="David" w:hint="cs"/>
          <w:sz w:val="24"/>
          <w:szCs w:val="24"/>
          <w:rtl/>
        </w:rPr>
        <w:t>ים</w:t>
      </w:r>
      <w:r w:rsidRPr="00F30F41">
        <w:rPr>
          <w:rFonts w:cs="David"/>
          <w:sz w:val="24"/>
          <w:szCs w:val="24"/>
          <w:rtl/>
        </w:rPr>
        <w:t xml:space="preserve"> מיעוטים ילידיים ומהגרים, נועדו לכאורה לייבוא ולתיווך תרבותיים בכלל ולתרגום ולמתורגמנות בפרט תפקיד ומעמד חשובים אשר אליהם</w:t>
      </w:r>
      <w:r w:rsidRPr="00F30F41">
        <w:rPr>
          <w:rFonts w:cs="David" w:hint="cs"/>
          <w:sz w:val="24"/>
          <w:szCs w:val="24"/>
          <w:rtl/>
        </w:rPr>
        <w:t xml:space="preserve"> נלווה הון</w:t>
      </w:r>
      <w:r w:rsidRPr="00F30F41">
        <w:rPr>
          <w:rFonts w:cs="David"/>
          <w:sz w:val="24"/>
          <w:szCs w:val="24"/>
          <w:rtl/>
        </w:rPr>
        <w:t>. למרות זאת, רוב עיסוקי התרגום נותרים מקצועיים למחצה. מתורגמנות קהילתית</w:t>
      </w:r>
      <w:r w:rsidRPr="00F30F41">
        <w:rPr>
          <w:rFonts w:cs="David" w:hint="cs"/>
          <w:sz w:val="24"/>
          <w:szCs w:val="24"/>
          <w:rtl/>
        </w:rPr>
        <w:t xml:space="preserve">, עיסוק אשר </w:t>
      </w:r>
      <w:r w:rsidRPr="00F30F41">
        <w:rPr>
          <w:rFonts w:cs="David"/>
          <w:sz w:val="24"/>
          <w:szCs w:val="24"/>
          <w:rtl/>
        </w:rPr>
        <w:t>מאופיין ביחסי כוחות אסימטריים מאחר שבאינטראקציות המתקיימות באמצעות המתורגמן מעורבים סוכנים בעלי עמדות כוח שונות</w:t>
      </w:r>
      <w:r w:rsidRPr="00F30F41">
        <w:rPr>
          <w:rFonts w:cs="David" w:hint="cs"/>
          <w:sz w:val="24"/>
          <w:szCs w:val="24"/>
          <w:rtl/>
        </w:rPr>
        <w:t>,</w:t>
      </w:r>
      <w:r w:rsidRPr="00F30F41">
        <w:rPr>
          <w:rFonts w:cs="David"/>
          <w:sz w:val="24"/>
          <w:szCs w:val="24"/>
          <w:rtl/>
        </w:rPr>
        <w:t xml:space="preserve"> מצויה בשוליים של כלל עיסוקי התרגום</w:t>
      </w:r>
      <w:r w:rsidRPr="00F30F41">
        <w:rPr>
          <w:rFonts w:cs="David" w:hint="cs"/>
          <w:sz w:val="24"/>
          <w:szCs w:val="24"/>
          <w:rtl/>
        </w:rPr>
        <w:t>.</w:t>
      </w:r>
      <w:r w:rsidRPr="00F30F41">
        <w:rPr>
          <w:rFonts w:cs="David"/>
          <w:sz w:val="24"/>
          <w:szCs w:val="24"/>
          <w:rtl/>
        </w:rPr>
        <w:t xml:space="preserve"> על רקע זה,</w:t>
      </w:r>
      <w:r w:rsidRPr="00F30F41">
        <w:rPr>
          <w:rFonts w:cs="David" w:hint="cs"/>
          <w:sz w:val="24"/>
          <w:szCs w:val="24"/>
          <w:rtl/>
        </w:rPr>
        <w:t xml:space="preserve"> נחנך ב-2007</w:t>
      </w:r>
      <w:r w:rsidRPr="00F30F41">
        <w:rPr>
          <w:rFonts w:cs="David"/>
          <w:sz w:val="24"/>
          <w:szCs w:val="24"/>
          <w:rtl/>
        </w:rPr>
        <w:t xml:space="preserve"> באוניברסיטת בר-אילן קורס "מתורגמנות קהילתית"</w:t>
      </w:r>
      <w:r w:rsidRPr="00F30F41">
        <w:rPr>
          <w:rFonts w:cs="David" w:hint="cs"/>
          <w:sz w:val="24"/>
          <w:szCs w:val="24"/>
          <w:rtl/>
        </w:rPr>
        <w:t xml:space="preserve"> הנסקר בפרק זה</w:t>
      </w:r>
      <w:r w:rsidRPr="00F30F41">
        <w:rPr>
          <w:rFonts w:cs="David"/>
          <w:sz w:val="24"/>
          <w:szCs w:val="24"/>
          <w:rtl/>
        </w:rPr>
        <w:t>.</w:t>
      </w:r>
    </w:p>
    <w:p w14:paraId="753D2E35" w14:textId="77777777" w:rsidR="00F30F41" w:rsidRPr="00F30F41" w:rsidRDefault="00F30F41" w:rsidP="00F30F41">
      <w:pPr>
        <w:spacing w:after="0" w:line="360" w:lineRule="auto"/>
        <w:ind w:firstLine="720"/>
        <w:jc w:val="both"/>
        <w:rPr>
          <w:rFonts w:cs="David"/>
          <w:b/>
          <w:sz w:val="24"/>
          <w:szCs w:val="24"/>
          <w:rtl/>
        </w:rPr>
      </w:pPr>
      <w:r w:rsidRPr="00F30F41">
        <w:rPr>
          <w:rFonts w:cs="David"/>
          <w:sz w:val="24"/>
          <w:szCs w:val="24"/>
          <w:rtl/>
        </w:rPr>
        <w:t>הפרק השלישי הנו מתודולוגי</w:t>
      </w:r>
      <w:r w:rsidRPr="00F30F41">
        <w:rPr>
          <w:rFonts w:cs="David" w:hint="cs"/>
          <w:sz w:val="24"/>
          <w:szCs w:val="24"/>
          <w:rtl/>
        </w:rPr>
        <w:t xml:space="preserve">. הוא מציג את </w:t>
      </w:r>
      <w:r w:rsidRPr="00F30F41">
        <w:rPr>
          <w:rFonts w:cs="David"/>
          <w:sz w:val="24"/>
          <w:szCs w:val="24"/>
          <w:rtl/>
        </w:rPr>
        <w:t xml:space="preserve">האסטרטגיה המחקרית </w:t>
      </w:r>
      <w:r w:rsidRPr="00F30F41">
        <w:rPr>
          <w:rFonts w:cs="David" w:hint="cs"/>
          <w:sz w:val="24"/>
          <w:szCs w:val="24"/>
          <w:rtl/>
        </w:rPr>
        <w:t>(</w:t>
      </w:r>
      <w:r w:rsidRPr="00F30F41">
        <w:rPr>
          <w:rFonts w:cs="David"/>
          <w:sz w:val="24"/>
          <w:szCs w:val="24"/>
          <w:rtl/>
        </w:rPr>
        <w:t>חקר מקרה</w:t>
      </w:r>
      <w:r w:rsidRPr="00F30F41">
        <w:rPr>
          <w:rFonts w:cs="David" w:hint="cs"/>
          <w:sz w:val="24"/>
          <w:szCs w:val="24"/>
          <w:rtl/>
        </w:rPr>
        <w:t>)</w:t>
      </w:r>
      <w:r w:rsidRPr="00F30F41">
        <w:rPr>
          <w:rFonts w:cs="David"/>
          <w:sz w:val="24"/>
          <w:szCs w:val="24"/>
          <w:rtl/>
        </w:rPr>
        <w:t xml:space="preserve">; </w:t>
      </w:r>
      <w:r w:rsidRPr="00F30F41">
        <w:rPr>
          <w:rFonts w:cs="David" w:hint="cs"/>
          <w:sz w:val="24"/>
          <w:szCs w:val="24"/>
          <w:rtl/>
        </w:rPr>
        <w:t xml:space="preserve">את </w:t>
      </w:r>
      <w:r w:rsidRPr="00F30F41">
        <w:rPr>
          <w:rFonts w:cs="David"/>
          <w:sz w:val="24"/>
          <w:szCs w:val="24"/>
          <w:rtl/>
        </w:rPr>
        <w:t>חומרי המחקר</w:t>
      </w:r>
      <w:r w:rsidRPr="00F30F41">
        <w:rPr>
          <w:rFonts w:cs="David" w:hint="cs"/>
          <w:sz w:val="24"/>
          <w:szCs w:val="24"/>
          <w:rtl/>
        </w:rPr>
        <w:t xml:space="preserve"> (דוחות ומטלות בכתב ופרזנטציות בעל-פה של הסטודנטים);</w:t>
      </w:r>
      <w:r w:rsidRPr="00F30F41">
        <w:rPr>
          <w:rFonts w:cs="David"/>
          <w:sz w:val="24"/>
          <w:szCs w:val="24"/>
          <w:rtl/>
        </w:rPr>
        <w:t xml:space="preserve"> </w:t>
      </w:r>
      <w:r w:rsidRPr="00F30F41">
        <w:rPr>
          <w:rFonts w:cs="David" w:hint="cs"/>
          <w:sz w:val="24"/>
          <w:szCs w:val="24"/>
          <w:rtl/>
        </w:rPr>
        <w:t xml:space="preserve">את </w:t>
      </w:r>
      <w:r w:rsidRPr="00F30F41">
        <w:rPr>
          <w:rFonts w:cs="David"/>
          <w:sz w:val="24"/>
          <w:szCs w:val="24"/>
          <w:rtl/>
        </w:rPr>
        <w:t xml:space="preserve">משתתפי המחקר </w:t>
      </w:r>
      <w:r w:rsidRPr="00F30F41">
        <w:rPr>
          <w:rFonts w:cs="David" w:hint="cs"/>
          <w:sz w:val="24"/>
          <w:szCs w:val="24"/>
          <w:rtl/>
        </w:rPr>
        <w:t>(73 סטודנטיות וסטודנטים, רובם נציגי מיעוטים ילידיים ומהגרים, דוברי ערבית, רוסית, אמהרית וספרדית)</w:t>
      </w:r>
      <w:r w:rsidRPr="00F30F41">
        <w:rPr>
          <w:rFonts w:cs="David"/>
          <w:sz w:val="24"/>
          <w:szCs w:val="24"/>
          <w:rtl/>
        </w:rPr>
        <w:t xml:space="preserve">; </w:t>
      </w:r>
      <w:r w:rsidRPr="00F30F41">
        <w:rPr>
          <w:rFonts w:cs="David" w:hint="cs"/>
          <w:sz w:val="24"/>
          <w:szCs w:val="24"/>
          <w:rtl/>
        </w:rPr>
        <w:t xml:space="preserve">את </w:t>
      </w:r>
      <w:r w:rsidRPr="00F30F41">
        <w:rPr>
          <w:rFonts w:cs="David"/>
          <w:sz w:val="24"/>
          <w:szCs w:val="24"/>
          <w:rtl/>
        </w:rPr>
        <w:t xml:space="preserve">שיטות הניתוח, הפרשנות ומהלכיהם. </w:t>
      </w:r>
      <w:r w:rsidRPr="00F30F41">
        <w:rPr>
          <w:rFonts w:cs="David" w:hint="cs"/>
          <w:sz w:val="24"/>
          <w:szCs w:val="24"/>
          <w:rtl/>
        </w:rPr>
        <w:t xml:space="preserve">בפרט, בפרק זה מוסברות שיטות הניתוח האיכותני שנעשה </w:t>
      </w:r>
      <w:r w:rsidRPr="00F30F41">
        <w:rPr>
          <w:rFonts w:cs="David"/>
          <w:sz w:val="24"/>
          <w:szCs w:val="24"/>
          <w:rtl/>
        </w:rPr>
        <w:t>באמצעות ניתוח אינדוקטיבי קטגוריאלי על בסיס שיטות מבוססות קורפוס</w:t>
      </w:r>
      <w:r w:rsidRPr="00F30F41">
        <w:rPr>
          <w:rFonts w:cs="David" w:hint="cs"/>
          <w:sz w:val="24"/>
          <w:szCs w:val="24"/>
          <w:rtl/>
        </w:rPr>
        <w:t xml:space="preserve"> אלקטרוני כשלב ראשון (ייצוגים עצמיים בכתב </w:t>
      </w:r>
      <w:r w:rsidRPr="00F30F41">
        <w:rPr>
          <w:rFonts w:cs="David"/>
          <w:sz w:val="24"/>
          <w:szCs w:val="24"/>
          <w:rtl/>
        </w:rPr>
        <w:t>עובדו אלקטרונית לקורפוס</w:t>
      </w:r>
      <w:r w:rsidRPr="00F30F41">
        <w:rPr>
          <w:rFonts w:cs="David" w:hint="cs"/>
          <w:sz w:val="24"/>
          <w:szCs w:val="24"/>
          <w:rtl/>
        </w:rPr>
        <w:t xml:space="preserve"> ומילות המפתח הרווחות בהם הושוו למילות המפתח בקורפוס גדול והטרוגני יותר)</w:t>
      </w:r>
      <w:r w:rsidRPr="00F30F41">
        <w:rPr>
          <w:rFonts w:cs="David"/>
          <w:sz w:val="24"/>
          <w:szCs w:val="24"/>
          <w:rtl/>
        </w:rPr>
        <w:t>, וניתוח עומק דדוקטיבי הוליסטי המ</w:t>
      </w:r>
      <w:r w:rsidRPr="00F30F41">
        <w:rPr>
          <w:rFonts w:cs="David" w:hint="cs"/>
          <w:sz w:val="24"/>
          <w:szCs w:val="24"/>
          <w:rtl/>
        </w:rPr>
        <w:t>שולב עם שיטה</w:t>
      </w:r>
      <w:r w:rsidRPr="00F30F41">
        <w:rPr>
          <w:rFonts w:cs="David"/>
          <w:sz w:val="24"/>
          <w:szCs w:val="24"/>
          <w:rtl/>
        </w:rPr>
        <w:t xml:space="preserve"> נרטיבית</w:t>
      </w:r>
      <w:r w:rsidRPr="00F30F41">
        <w:rPr>
          <w:rFonts w:cs="David" w:hint="cs"/>
          <w:sz w:val="24"/>
          <w:szCs w:val="24"/>
          <w:rtl/>
        </w:rPr>
        <w:t xml:space="preserve"> כשלב שני</w:t>
      </w:r>
      <w:r w:rsidRPr="00F30F41">
        <w:rPr>
          <w:rFonts w:cs="David"/>
          <w:sz w:val="24"/>
          <w:szCs w:val="24"/>
          <w:rtl/>
        </w:rPr>
        <w:t xml:space="preserve">. </w:t>
      </w:r>
      <w:r w:rsidRPr="00F30F41">
        <w:rPr>
          <w:rFonts w:cs="David" w:hint="cs"/>
          <w:b/>
          <w:sz w:val="24"/>
          <w:szCs w:val="24"/>
          <w:rtl/>
        </w:rPr>
        <w:t>ניתוח זה מופיע בפרק הרביעי.</w:t>
      </w:r>
    </w:p>
    <w:p w14:paraId="4722A62F" w14:textId="77777777" w:rsidR="00F30F41" w:rsidRPr="00F30F41" w:rsidRDefault="00F30F41" w:rsidP="00F30F41">
      <w:pPr>
        <w:spacing w:after="0" w:line="360" w:lineRule="auto"/>
        <w:ind w:firstLine="720"/>
        <w:jc w:val="both"/>
        <w:rPr>
          <w:rFonts w:cs="David"/>
          <w:b/>
          <w:sz w:val="24"/>
          <w:szCs w:val="24"/>
          <w:rtl/>
        </w:rPr>
      </w:pPr>
      <w:bookmarkStart w:id="0" w:name="_Hlk497127458"/>
      <w:r w:rsidRPr="00F30F41">
        <w:rPr>
          <w:rFonts w:cs="David" w:hint="cs"/>
          <w:b/>
          <w:sz w:val="24"/>
          <w:szCs w:val="24"/>
          <w:rtl/>
        </w:rPr>
        <w:lastRenderedPageBreak/>
        <w:t>מטרת הניתוח האינדוקטיבי הקטגוריאלי המבוסס על הקורפוס האלקטרוני הייתה ללכוד "תמונה גדולה", ותרומתו</w:t>
      </w:r>
      <w:r w:rsidRPr="00F30F41">
        <w:rPr>
          <w:rFonts w:cs="David"/>
          <w:b/>
          <w:sz w:val="24"/>
          <w:szCs w:val="24"/>
          <w:rtl/>
        </w:rPr>
        <w:t xml:space="preserve"> </w:t>
      </w:r>
      <w:r w:rsidRPr="00F30F41">
        <w:rPr>
          <w:rFonts w:cs="David" w:hint="cs"/>
          <w:b/>
          <w:sz w:val="24"/>
          <w:szCs w:val="24"/>
          <w:rtl/>
        </w:rPr>
        <w:t>ניכרת</w:t>
      </w:r>
      <w:r w:rsidRPr="00F30F41">
        <w:rPr>
          <w:rFonts w:cs="David"/>
          <w:b/>
          <w:sz w:val="24"/>
          <w:szCs w:val="24"/>
          <w:rtl/>
        </w:rPr>
        <w:t xml:space="preserve"> </w:t>
      </w:r>
      <w:r w:rsidRPr="00F30F41">
        <w:rPr>
          <w:rFonts w:cs="David" w:hint="cs"/>
          <w:b/>
          <w:sz w:val="24"/>
          <w:szCs w:val="24"/>
          <w:rtl/>
        </w:rPr>
        <w:t>בכל</w:t>
      </w:r>
      <w:r w:rsidRPr="00F30F41">
        <w:rPr>
          <w:rFonts w:cs="David"/>
          <w:b/>
          <w:sz w:val="24"/>
          <w:szCs w:val="24"/>
          <w:rtl/>
        </w:rPr>
        <w:t xml:space="preserve"> </w:t>
      </w:r>
      <w:r w:rsidRPr="00F30F41">
        <w:rPr>
          <w:rFonts w:cs="David" w:hint="cs"/>
          <w:b/>
          <w:sz w:val="24"/>
          <w:szCs w:val="24"/>
          <w:rtl/>
        </w:rPr>
        <w:t>ממצאיו</w:t>
      </w:r>
      <w:r w:rsidRPr="00F30F41">
        <w:rPr>
          <w:rFonts w:cs="David"/>
          <w:b/>
          <w:sz w:val="24"/>
          <w:szCs w:val="24"/>
          <w:rtl/>
        </w:rPr>
        <w:t xml:space="preserve"> </w:t>
      </w:r>
      <w:r w:rsidRPr="00F30F41">
        <w:rPr>
          <w:rFonts w:cs="David" w:hint="cs"/>
          <w:b/>
          <w:sz w:val="24"/>
          <w:szCs w:val="24"/>
          <w:rtl/>
        </w:rPr>
        <w:t>של</w:t>
      </w:r>
      <w:r w:rsidRPr="00F30F41">
        <w:rPr>
          <w:rFonts w:cs="David"/>
          <w:b/>
          <w:sz w:val="24"/>
          <w:szCs w:val="24"/>
          <w:rtl/>
        </w:rPr>
        <w:t xml:space="preserve"> </w:t>
      </w:r>
      <w:r w:rsidRPr="00F30F41">
        <w:rPr>
          <w:rFonts w:cs="David" w:hint="cs"/>
          <w:b/>
          <w:sz w:val="24"/>
          <w:szCs w:val="24"/>
          <w:rtl/>
        </w:rPr>
        <w:t>ניתוח</w:t>
      </w:r>
      <w:r w:rsidRPr="00F30F41">
        <w:rPr>
          <w:rFonts w:cs="David"/>
          <w:b/>
          <w:sz w:val="24"/>
          <w:szCs w:val="24"/>
          <w:rtl/>
        </w:rPr>
        <w:t xml:space="preserve"> </w:t>
      </w:r>
      <w:r w:rsidRPr="00F30F41">
        <w:rPr>
          <w:rFonts w:cs="David" w:hint="cs"/>
          <w:b/>
          <w:sz w:val="24"/>
          <w:szCs w:val="24"/>
          <w:rtl/>
        </w:rPr>
        <w:t xml:space="preserve">העומק הדדוקטיבי ההוליסטי. ניתוח העומק כלל גם </w:t>
      </w:r>
      <w:r w:rsidRPr="00F30F41">
        <w:rPr>
          <w:rFonts w:cs="David"/>
          <w:b/>
          <w:sz w:val="24"/>
          <w:szCs w:val="24"/>
          <w:rtl/>
        </w:rPr>
        <w:t>פרשנות</w:t>
      </w:r>
      <w:r w:rsidRPr="00F30F41">
        <w:rPr>
          <w:rFonts w:cs="David" w:hint="cs"/>
          <w:b/>
          <w:sz w:val="24"/>
          <w:szCs w:val="24"/>
          <w:rtl/>
        </w:rPr>
        <w:t xml:space="preserve"> </w:t>
      </w:r>
      <w:r w:rsidRPr="00F30F41">
        <w:rPr>
          <w:rFonts w:cs="David"/>
          <w:b/>
          <w:sz w:val="24"/>
          <w:szCs w:val="24"/>
          <w:rtl/>
        </w:rPr>
        <w:t xml:space="preserve">על בסיס </w:t>
      </w:r>
      <w:r w:rsidRPr="00F30F41">
        <w:rPr>
          <w:rFonts w:cs="David" w:hint="cs"/>
          <w:b/>
          <w:sz w:val="24"/>
          <w:szCs w:val="24"/>
          <w:rtl/>
        </w:rPr>
        <w:t>התשתית התיאורטית ותוך שימת דגש להקשרים שבהם הופקו הייצוגים העצמיים של הסטודנטים-מתורגמנים: ההקשר המיידי (דיאלוג עם המנחות במסגרת תכנית הקורס וחובותיו), הקשר המיקרו (</w:t>
      </w:r>
      <w:r w:rsidRPr="00F30F41">
        <w:rPr>
          <w:rFonts w:cs="David"/>
          <w:b/>
          <w:sz w:val="24"/>
          <w:szCs w:val="24"/>
          <w:rtl/>
        </w:rPr>
        <w:t>מה שקרה, קורה או יקרה לסטודנטים סמוך להפקת הייצוגים העצמיים</w:t>
      </w:r>
      <w:r w:rsidRPr="00F30F41">
        <w:rPr>
          <w:rFonts w:cs="David" w:hint="cs"/>
          <w:b/>
          <w:sz w:val="24"/>
          <w:szCs w:val="24"/>
          <w:rtl/>
        </w:rPr>
        <w:t>) והקשר המקרו (</w:t>
      </w:r>
      <w:r w:rsidRPr="00F30F41">
        <w:rPr>
          <w:rFonts w:cs="David"/>
          <w:b/>
          <w:sz w:val="24"/>
          <w:szCs w:val="24"/>
          <w:rtl/>
        </w:rPr>
        <w:t xml:space="preserve">המצב החברתי, הפוליטי וכד' </w:t>
      </w:r>
      <w:r w:rsidRPr="00F30F41">
        <w:rPr>
          <w:rFonts w:cs="David" w:hint="cs"/>
          <w:b/>
          <w:sz w:val="24"/>
          <w:szCs w:val="24"/>
          <w:rtl/>
        </w:rPr>
        <w:t xml:space="preserve">של ישראל רבת התרבויות). </w:t>
      </w:r>
      <w:r w:rsidRPr="00F30F41">
        <w:rPr>
          <w:rFonts w:cs="David"/>
          <w:b/>
          <w:sz w:val="24"/>
          <w:szCs w:val="24"/>
          <w:rtl/>
        </w:rPr>
        <w:t xml:space="preserve">במהלך הקריאה מרובת השלבים </w:t>
      </w:r>
      <w:r w:rsidRPr="00F30F41">
        <w:rPr>
          <w:rFonts w:cs="David" w:hint="cs"/>
          <w:b/>
          <w:sz w:val="24"/>
          <w:szCs w:val="24"/>
          <w:rtl/>
        </w:rPr>
        <w:t xml:space="preserve">של החומרים זוהו דדוקטיבית ממדים תמטיים שבשלב הראשון של הניתוח אותרו אינדוקטיבית: זמן (מסגרת פורמלית של ההתנדבות, שגרת העבודה וההתפתחות האישית והמקצועית של הסטודנטים); מקום (הקורס על מרכיביו כמסגרת על, ומקומות ההתנדבות </w:t>
      </w:r>
      <w:r w:rsidRPr="00F30F41">
        <w:rPr>
          <w:rFonts w:cs="David"/>
          <w:b/>
          <w:sz w:val="24"/>
          <w:szCs w:val="24"/>
          <w:rtl/>
        </w:rPr>
        <w:t>–</w:t>
      </w:r>
      <w:r w:rsidRPr="00F30F41">
        <w:rPr>
          <w:rFonts w:cs="David" w:hint="cs"/>
          <w:b/>
          <w:sz w:val="24"/>
          <w:szCs w:val="24"/>
          <w:rtl/>
        </w:rPr>
        <w:t xml:space="preserve"> השדות המקצועיים שבהם התנדבו הסטודנטים כמתורגמנים: שירותי בריאות, רווחה ועמותות לזכויות אדם); ואינטראקציה הקשורה</w:t>
      </w:r>
      <w:r w:rsidRPr="00F30F41">
        <w:rPr>
          <w:rFonts w:cs="David"/>
          <w:b/>
          <w:sz w:val="24"/>
          <w:szCs w:val="24"/>
          <w:rtl/>
        </w:rPr>
        <w:t xml:space="preserve"> ל</w:t>
      </w:r>
      <w:r w:rsidRPr="00F30F41">
        <w:rPr>
          <w:rFonts w:cs="David" w:hint="cs"/>
          <w:b/>
          <w:sz w:val="24"/>
          <w:szCs w:val="24"/>
          <w:rtl/>
        </w:rPr>
        <w:t>ה</w:t>
      </w:r>
      <w:r w:rsidRPr="00F30F41">
        <w:rPr>
          <w:rFonts w:cs="David"/>
          <w:b/>
          <w:sz w:val="24"/>
          <w:szCs w:val="24"/>
          <w:rtl/>
        </w:rPr>
        <w:t>שתתפות בכיתה המערבת הכשרה וסוכנים שאתם באים הסטודנטים-מתורגמנים במגע (עמיתים-מתורגמנים בכיתה, מנחות הקורס, האוניברסיטה) ו</w:t>
      </w:r>
      <w:r w:rsidRPr="00F30F41">
        <w:rPr>
          <w:rFonts w:cs="David" w:hint="cs"/>
          <w:b/>
          <w:sz w:val="24"/>
          <w:szCs w:val="24"/>
          <w:rtl/>
        </w:rPr>
        <w:t>ל</w:t>
      </w:r>
      <w:r w:rsidRPr="00F30F41">
        <w:rPr>
          <w:rFonts w:cs="David"/>
          <w:b/>
          <w:sz w:val="24"/>
          <w:szCs w:val="24"/>
          <w:rtl/>
        </w:rPr>
        <w:t>התנדבות ב</w:t>
      </w:r>
      <w:r w:rsidRPr="00F30F41">
        <w:rPr>
          <w:rFonts w:cs="David" w:hint="cs"/>
          <w:b/>
          <w:sz w:val="24"/>
          <w:szCs w:val="24"/>
          <w:rtl/>
        </w:rPr>
        <w:t>מתורגמנות קהילתית</w:t>
      </w:r>
      <w:r w:rsidRPr="00F30F41">
        <w:rPr>
          <w:rFonts w:cs="David"/>
          <w:b/>
          <w:sz w:val="24"/>
          <w:szCs w:val="24"/>
          <w:rtl/>
        </w:rPr>
        <w:t xml:space="preserve"> בשדות מקצועיים המערבת סוכנים (נותני השירות, מקבלי השירות, עמיתים-מתורגמנים) סביב תרגום (</w:t>
      </w:r>
      <w:r w:rsidRPr="00F30F41">
        <w:rPr>
          <w:rFonts w:cs="David" w:hint="cs"/>
          <w:b/>
          <w:sz w:val="24"/>
          <w:szCs w:val="24"/>
          <w:rtl/>
        </w:rPr>
        <w:t xml:space="preserve">הכולל את </w:t>
      </w:r>
      <w:r w:rsidRPr="00F30F41">
        <w:rPr>
          <w:rFonts w:cs="David"/>
          <w:b/>
          <w:sz w:val="24"/>
          <w:szCs w:val="24"/>
          <w:rtl/>
        </w:rPr>
        <w:t>תפיסת התרגום, התנהלות בשטח, קשיים ודילמות, רגש וחוויה).</w:t>
      </w:r>
      <w:r w:rsidRPr="00F30F41">
        <w:rPr>
          <w:rFonts w:cs="David" w:hint="cs"/>
          <w:b/>
          <w:sz w:val="24"/>
          <w:szCs w:val="24"/>
          <w:rtl/>
        </w:rPr>
        <w:t xml:space="preserve"> בכל אחד מהממדים התמטיים, המקיימים בינם לבין עצמם </w:t>
      </w:r>
      <w:r w:rsidRPr="00F30F41">
        <w:rPr>
          <w:rFonts w:cs="David"/>
          <w:b/>
          <w:sz w:val="24"/>
          <w:szCs w:val="24"/>
          <w:rtl/>
        </w:rPr>
        <w:t>קשר הדדי</w:t>
      </w:r>
      <w:r w:rsidRPr="00F30F41">
        <w:rPr>
          <w:rFonts w:cs="David" w:hint="cs"/>
          <w:b/>
          <w:sz w:val="24"/>
          <w:szCs w:val="24"/>
          <w:rtl/>
        </w:rPr>
        <w:t>, ובתמות הכלולות בהם,</w:t>
      </w:r>
      <w:r w:rsidRPr="00F30F41">
        <w:rPr>
          <w:rFonts w:cs="David"/>
          <w:b/>
          <w:sz w:val="24"/>
          <w:szCs w:val="24"/>
          <w:rtl/>
        </w:rPr>
        <w:t xml:space="preserve"> אותרו מגמות </w:t>
      </w:r>
      <w:r w:rsidRPr="00F30F41">
        <w:rPr>
          <w:rFonts w:cs="David" w:hint="cs"/>
          <w:b/>
          <w:sz w:val="24"/>
          <w:szCs w:val="24"/>
          <w:rtl/>
        </w:rPr>
        <w:t>רווח</w:t>
      </w:r>
      <w:r w:rsidRPr="00F30F41">
        <w:rPr>
          <w:rFonts w:cs="David"/>
          <w:b/>
          <w:sz w:val="24"/>
          <w:szCs w:val="24"/>
          <w:rtl/>
        </w:rPr>
        <w:t>ות</w:t>
      </w:r>
      <w:r w:rsidRPr="00F30F41">
        <w:rPr>
          <w:rFonts w:cs="David" w:hint="cs"/>
          <w:b/>
          <w:sz w:val="24"/>
          <w:szCs w:val="24"/>
          <w:rtl/>
        </w:rPr>
        <w:t xml:space="preserve"> המסמנות את הסטודנטים-מתורגמנים כקבוצה נבדלת.</w:t>
      </w:r>
    </w:p>
    <w:bookmarkEnd w:id="0"/>
    <w:p w14:paraId="174E2787" w14:textId="77777777" w:rsidR="00F30F41" w:rsidRPr="00F30F41" w:rsidRDefault="00F30F41" w:rsidP="00F30F41">
      <w:pPr>
        <w:spacing w:after="0" w:line="360" w:lineRule="auto"/>
        <w:ind w:firstLine="720"/>
        <w:jc w:val="both"/>
        <w:rPr>
          <w:rFonts w:cs="David"/>
          <w:b/>
          <w:sz w:val="24"/>
          <w:szCs w:val="24"/>
        </w:rPr>
      </w:pPr>
      <w:r w:rsidRPr="00F30F41">
        <w:rPr>
          <w:rFonts w:cs="David"/>
          <w:b/>
          <w:sz w:val="24"/>
          <w:szCs w:val="24"/>
          <w:rtl/>
        </w:rPr>
        <w:t>ממצאי המחקר</w:t>
      </w:r>
      <w:r w:rsidRPr="00F30F41">
        <w:rPr>
          <w:rFonts w:cs="David" w:hint="cs"/>
          <w:b/>
          <w:sz w:val="24"/>
          <w:szCs w:val="24"/>
          <w:rtl/>
        </w:rPr>
        <w:t>, הנדונים בפרק החמישי,</w:t>
      </w:r>
      <w:r w:rsidRPr="00F30F41">
        <w:rPr>
          <w:rFonts w:cs="David"/>
          <w:b/>
          <w:sz w:val="24"/>
          <w:szCs w:val="24"/>
          <w:rtl/>
        </w:rPr>
        <w:t xml:space="preserve"> מציגים תמונה מורכבת של התנהלות הסטודנטים </w:t>
      </w:r>
      <w:r w:rsidRPr="00F30F41">
        <w:rPr>
          <w:rFonts w:cs="David" w:hint="cs"/>
          <w:b/>
          <w:sz w:val="24"/>
          <w:szCs w:val="24"/>
          <w:rtl/>
        </w:rPr>
        <w:t>בשטח</w:t>
      </w:r>
      <w:r w:rsidRPr="00F30F41">
        <w:rPr>
          <w:rFonts w:cs="David"/>
          <w:b/>
          <w:sz w:val="24"/>
          <w:szCs w:val="24"/>
          <w:rtl/>
        </w:rPr>
        <w:t xml:space="preserve"> במקביל להכשרתם בכיתה בקורס "מתורגמנות קהילתית"</w:t>
      </w:r>
      <w:r w:rsidRPr="00F30F41">
        <w:rPr>
          <w:rFonts w:cs="David" w:hint="cs"/>
          <w:b/>
          <w:sz w:val="24"/>
          <w:szCs w:val="24"/>
          <w:rtl/>
        </w:rPr>
        <w:t xml:space="preserve"> כפי שהיא באה לידי ביטוי ונבנית בייצוגיהם העצמיים</w:t>
      </w:r>
      <w:r w:rsidRPr="00F30F41">
        <w:rPr>
          <w:rFonts w:cs="David"/>
          <w:b/>
          <w:sz w:val="24"/>
          <w:szCs w:val="24"/>
          <w:rtl/>
        </w:rPr>
        <w:t xml:space="preserve">. </w:t>
      </w:r>
      <w:bookmarkStart w:id="1" w:name="_Hlk497128204"/>
      <w:bookmarkStart w:id="2" w:name="_Hlk497126945"/>
      <w:r w:rsidRPr="00F30F41">
        <w:rPr>
          <w:rFonts w:cs="David"/>
          <w:b/>
          <w:sz w:val="24"/>
          <w:szCs w:val="24"/>
          <w:rtl/>
        </w:rPr>
        <w:t xml:space="preserve">נמצא כי מסלול החיים המיוחד </w:t>
      </w:r>
      <w:r w:rsidRPr="00F30F41">
        <w:rPr>
          <w:rFonts w:cs="David" w:hint="cs"/>
          <w:b/>
          <w:sz w:val="24"/>
          <w:szCs w:val="24"/>
          <w:rtl/>
        </w:rPr>
        <w:t>של הסטודנטים-מתורגמנים (</w:t>
      </w:r>
      <w:r w:rsidRPr="00F30F41">
        <w:rPr>
          <w:rFonts w:cs="David"/>
          <w:b/>
          <w:sz w:val="24"/>
          <w:szCs w:val="24"/>
          <w:rtl/>
        </w:rPr>
        <w:t>הכולל</w:t>
      </w:r>
      <w:r w:rsidRPr="00F30F41">
        <w:rPr>
          <w:rFonts w:cs="David" w:hint="cs"/>
          <w:b/>
          <w:sz w:val="24"/>
          <w:szCs w:val="24"/>
          <w:rtl/>
        </w:rPr>
        <w:t>, בין היתר,</w:t>
      </w:r>
      <w:r w:rsidRPr="00F30F41">
        <w:rPr>
          <w:rFonts w:cs="David"/>
          <w:b/>
          <w:sz w:val="24"/>
          <w:szCs w:val="24"/>
          <w:rtl/>
        </w:rPr>
        <w:t xml:space="preserve"> את היותם </w:t>
      </w:r>
      <w:r w:rsidRPr="00F30F41">
        <w:rPr>
          <w:rFonts w:cs="David" w:hint="cs"/>
          <w:b/>
          <w:sz w:val="24"/>
          <w:szCs w:val="24"/>
          <w:rtl/>
        </w:rPr>
        <w:t xml:space="preserve">של רוב הסטודנטים </w:t>
      </w:r>
      <w:r w:rsidRPr="00F30F41">
        <w:rPr>
          <w:rFonts w:cs="David"/>
          <w:b/>
          <w:sz w:val="24"/>
          <w:szCs w:val="24"/>
          <w:rtl/>
        </w:rPr>
        <w:t xml:space="preserve">נציגי קבוצות מיעוט בישראל רבת התרבויות, </w:t>
      </w:r>
      <w:r w:rsidRPr="00F30F41">
        <w:rPr>
          <w:rFonts w:cs="David" w:hint="cs"/>
          <w:b/>
          <w:sz w:val="24"/>
          <w:szCs w:val="24"/>
          <w:rtl/>
        </w:rPr>
        <w:t xml:space="preserve">את </w:t>
      </w:r>
      <w:r w:rsidRPr="00F30F41">
        <w:rPr>
          <w:rFonts w:cs="David"/>
          <w:b/>
          <w:sz w:val="24"/>
          <w:szCs w:val="24"/>
          <w:rtl/>
        </w:rPr>
        <w:t xml:space="preserve">כשירותם </w:t>
      </w:r>
      <w:r w:rsidRPr="00F30F41">
        <w:rPr>
          <w:rFonts w:cs="David" w:hint="cs"/>
          <w:b/>
          <w:sz w:val="24"/>
          <w:szCs w:val="24"/>
          <w:rtl/>
        </w:rPr>
        <w:t>ב</w:t>
      </w:r>
      <w:r w:rsidRPr="00F30F41">
        <w:rPr>
          <w:rFonts w:cs="David"/>
          <w:b/>
          <w:sz w:val="24"/>
          <w:szCs w:val="24"/>
          <w:rtl/>
        </w:rPr>
        <w:t>שפת הרוב ו</w:t>
      </w:r>
      <w:r w:rsidRPr="00F30F41">
        <w:rPr>
          <w:rFonts w:cs="David" w:hint="cs"/>
          <w:b/>
          <w:sz w:val="24"/>
          <w:szCs w:val="24"/>
          <w:rtl/>
        </w:rPr>
        <w:t>ב</w:t>
      </w:r>
      <w:r w:rsidRPr="00F30F41">
        <w:rPr>
          <w:rFonts w:cs="David"/>
          <w:b/>
          <w:sz w:val="24"/>
          <w:szCs w:val="24"/>
          <w:rtl/>
        </w:rPr>
        <w:t xml:space="preserve">שפת המיעוט, ולפיכך גם </w:t>
      </w:r>
      <w:r w:rsidRPr="00F30F41">
        <w:rPr>
          <w:rFonts w:cs="David" w:hint="cs"/>
          <w:b/>
          <w:sz w:val="24"/>
          <w:szCs w:val="24"/>
          <w:rtl/>
        </w:rPr>
        <w:t>את ניסיונם</w:t>
      </w:r>
      <w:r w:rsidRPr="00F30F41">
        <w:rPr>
          <w:rFonts w:cs="David"/>
          <w:b/>
          <w:sz w:val="24"/>
          <w:szCs w:val="24"/>
          <w:rtl/>
        </w:rPr>
        <w:t xml:space="preserve"> במתורגמנות טבעית</w:t>
      </w:r>
      <w:r w:rsidRPr="00F30F41">
        <w:rPr>
          <w:rFonts w:cs="David" w:hint="cs"/>
          <w:b/>
          <w:sz w:val="24"/>
          <w:szCs w:val="24"/>
          <w:rtl/>
        </w:rPr>
        <w:t>) ו</w:t>
      </w:r>
      <w:r w:rsidRPr="00F30F41">
        <w:rPr>
          <w:rFonts w:cs="David"/>
          <w:b/>
          <w:sz w:val="24"/>
          <w:szCs w:val="24"/>
          <w:rtl/>
        </w:rPr>
        <w:t>אישיות</w:t>
      </w:r>
      <w:r w:rsidRPr="00F30F41">
        <w:rPr>
          <w:rFonts w:cs="David" w:hint="cs"/>
          <w:b/>
          <w:sz w:val="24"/>
          <w:szCs w:val="24"/>
          <w:rtl/>
        </w:rPr>
        <w:t>ם</w:t>
      </w:r>
      <w:r w:rsidRPr="00F30F41">
        <w:rPr>
          <w:rFonts w:cs="David"/>
          <w:b/>
          <w:sz w:val="24"/>
          <w:szCs w:val="24"/>
          <w:rtl/>
        </w:rPr>
        <w:t xml:space="preserve"> </w:t>
      </w:r>
      <w:r w:rsidRPr="00F30F41">
        <w:rPr>
          <w:rFonts w:cs="David" w:hint="cs"/>
          <w:b/>
          <w:sz w:val="24"/>
          <w:szCs w:val="24"/>
          <w:rtl/>
        </w:rPr>
        <w:t xml:space="preserve">(הכוללת </w:t>
      </w:r>
      <w:r w:rsidRPr="00F30F41">
        <w:rPr>
          <w:rFonts w:cs="David"/>
          <w:b/>
          <w:sz w:val="24"/>
          <w:szCs w:val="24"/>
          <w:rtl/>
        </w:rPr>
        <w:t xml:space="preserve">תכונות אישיות </w:t>
      </w:r>
      <w:r w:rsidRPr="00F30F41">
        <w:rPr>
          <w:rFonts w:cs="David" w:hint="cs"/>
          <w:b/>
          <w:sz w:val="24"/>
          <w:szCs w:val="24"/>
          <w:rtl/>
        </w:rPr>
        <w:t>כגון א</w:t>
      </w:r>
      <w:r w:rsidRPr="00F30F41">
        <w:rPr>
          <w:rFonts w:cs="David"/>
          <w:b/>
          <w:sz w:val="24"/>
          <w:szCs w:val="24"/>
          <w:rtl/>
        </w:rPr>
        <w:t>מפתיה, תודעה התנדבותית, יוזמה, "ראש גדול", כישורים חברתיים</w:t>
      </w:r>
      <w:r w:rsidRPr="00F30F41">
        <w:rPr>
          <w:rFonts w:cs="David" w:hint="cs"/>
          <w:b/>
          <w:sz w:val="24"/>
          <w:szCs w:val="24"/>
          <w:rtl/>
        </w:rPr>
        <w:t xml:space="preserve">) </w:t>
      </w:r>
      <w:r w:rsidRPr="00F30F41">
        <w:rPr>
          <w:rFonts w:cs="David"/>
          <w:b/>
          <w:sz w:val="24"/>
          <w:szCs w:val="24"/>
          <w:rtl/>
        </w:rPr>
        <w:t xml:space="preserve">הופכים לרקע רלוונטי המייעד אותם להיות מתורגמנים קהילתיים ומקבלים חשיבות בכניסתם לשדה המתורגמנות הקהילתית </w:t>
      </w:r>
      <w:r w:rsidRPr="00F30F41">
        <w:rPr>
          <w:rFonts w:cs="David" w:hint="cs"/>
          <w:b/>
          <w:sz w:val="24"/>
          <w:szCs w:val="24"/>
          <w:rtl/>
        </w:rPr>
        <w:t>כ</w:t>
      </w:r>
      <w:r w:rsidRPr="00F30F41">
        <w:rPr>
          <w:rFonts w:cs="David"/>
          <w:b/>
          <w:sz w:val="24"/>
          <w:szCs w:val="24"/>
          <w:rtl/>
        </w:rPr>
        <w:t>משאב להון שבאמצעותו ניתן להתבדל ולקדם מעמד.</w:t>
      </w:r>
      <w:r w:rsidRPr="00F30F41">
        <w:rPr>
          <w:rFonts w:cs="David" w:hint="cs"/>
          <w:b/>
          <w:sz w:val="24"/>
          <w:szCs w:val="24"/>
          <w:rtl/>
        </w:rPr>
        <w:t xml:space="preserve"> </w:t>
      </w:r>
      <w:r w:rsidRPr="00F30F41">
        <w:rPr>
          <w:rFonts w:cs="David"/>
          <w:b/>
          <w:sz w:val="24"/>
          <w:szCs w:val="24"/>
          <w:rtl/>
        </w:rPr>
        <w:t xml:space="preserve">ההביטוס הראשוני הזה משמש בסיס להביטוס המקצועי המתגבש במהלך השתתפותם בקורס. </w:t>
      </w:r>
      <w:r w:rsidRPr="00F30F41">
        <w:rPr>
          <w:rFonts w:cs="David" w:hint="cs"/>
          <w:b/>
          <w:sz w:val="24"/>
          <w:szCs w:val="24"/>
          <w:rtl/>
        </w:rPr>
        <w:t xml:space="preserve">פרט להביטוס הראשוני, נמצאו </w:t>
      </w:r>
      <w:r w:rsidRPr="00F30F41">
        <w:rPr>
          <w:rFonts w:cs="David"/>
          <w:b/>
          <w:sz w:val="24"/>
          <w:szCs w:val="24"/>
          <w:rtl/>
        </w:rPr>
        <w:t xml:space="preserve">גורמים </w:t>
      </w:r>
      <w:r w:rsidRPr="00F30F41">
        <w:rPr>
          <w:rFonts w:cs="David" w:hint="cs"/>
          <w:b/>
          <w:sz w:val="24"/>
          <w:szCs w:val="24"/>
          <w:rtl/>
        </w:rPr>
        <w:t>נוספ</w:t>
      </w:r>
      <w:r w:rsidRPr="00F30F41">
        <w:rPr>
          <w:rFonts w:cs="David"/>
          <w:b/>
          <w:sz w:val="24"/>
          <w:szCs w:val="24"/>
          <w:rtl/>
        </w:rPr>
        <w:t>ים. ההכשרה, ה</w:t>
      </w:r>
      <w:r w:rsidRPr="00F30F41">
        <w:rPr>
          <w:rFonts w:cs="David" w:hint="cs"/>
          <w:b/>
          <w:sz w:val="24"/>
          <w:szCs w:val="24"/>
          <w:rtl/>
        </w:rPr>
        <w:t xml:space="preserve">ניתנת </w:t>
      </w:r>
      <w:r w:rsidRPr="00F30F41">
        <w:rPr>
          <w:rFonts w:cs="David"/>
          <w:b/>
          <w:sz w:val="24"/>
          <w:szCs w:val="24"/>
          <w:rtl/>
        </w:rPr>
        <w:t>על-ידי מנחות הקורס, היא אחד מהם. במהלך ההכשרה לומדים הסטודנטים שעיסוקם</w:t>
      </w:r>
      <w:r w:rsidRPr="00F30F41">
        <w:rPr>
          <w:rFonts w:cs="David" w:hint="cs"/>
          <w:b/>
          <w:sz w:val="24"/>
          <w:szCs w:val="24"/>
          <w:rtl/>
        </w:rPr>
        <w:t>,</w:t>
      </w:r>
      <w:r w:rsidRPr="00F30F41">
        <w:rPr>
          <w:rFonts w:cs="David"/>
          <w:b/>
          <w:sz w:val="24"/>
          <w:szCs w:val="24"/>
          <w:rtl/>
        </w:rPr>
        <w:t xml:space="preserve"> שבעבר היה מכונה</w:t>
      </w:r>
      <w:r w:rsidRPr="00F30F41">
        <w:rPr>
          <w:rFonts w:cs="David" w:hint="cs"/>
          <w:b/>
          <w:sz w:val="24"/>
          <w:szCs w:val="24"/>
          <w:rtl/>
        </w:rPr>
        <w:t xml:space="preserve"> בפיהם</w:t>
      </w:r>
      <w:r w:rsidRPr="00F30F41">
        <w:rPr>
          <w:rFonts w:cs="David"/>
          <w:b/>
          <w:sz w:val="24"/>
          <w:szCs w:val="24"/>
          <w:rtl/>
        </w:rPr>
        <w:t xml:space="preserve"> "עזרה"</w:t>
      </w:r>
      <w:r w:rsidRPr="00F30F41">
        <w:rPr>
          <w:rFonts w:cs="David" w:hint="cs"/>
          <w:b/>
          <w:sz w:val="24"/>
          <w:szCs w:val="24"/>
          <w:rtl/>
        </w:rPr>
        <w:t>,</w:t>
      </w:r>
      <w:r w:rsidRPr="00F30F41">
        <w:rPr>
          <w:rFonts w:cs="David"/>
          <w:b/>
          <w:sz w:val="24"/>
          <w:szCs w:val="24"/>
          <w:rtl/>
        </w:rPr>
        <w:t xml:space="preserve"> </w:t>
      </w:r>
      <w:r w:rsidRPr="00F30F41">
        <w:rPr>
          <w:rFonts w:cs="David" w:hint="cs"/>
          <w:b/>
          <w:sz w:val="24"/>
          <w:szCs w:val="24"/>
          <w:rtl/>
        </w:rPr>
        <w:t>נקרא</w:t>
      </w:r>
      <w:r w:rsidRPr="00F30F41">
        <w:rPr>
          <w:rFonts w:cs="David"/>
          <w:b/>
          <w:sz w:val="24"/>
          <w:szCs w:val="24"/>
          <w:rtl/>
        </w:rPr>
        <w:t xml:space="preserve"> מתורגמנות קהילתית שהיא מקצוע חשוב הדורש הכשרה ומיסוד; מקצוע בעל גופי ידע, כללי עבודה </w:t>
      </w:r>
      <w:r w:rsidRPr="00F30F41">
        <w:rPr>
          <w:rFonts w:cs="David" w:hint="cs"/>
          <w:b/>
          <w:sz w:val="24"/>
          <w:szCs w:val="24"/>
          <w:rtl/>
        </w:rPr>
        <w:t>ו</w:t>
      </w:r>
      <w:r w:rsidRPr="00F30F41">
        <w:rPr>
          <w:rFonts w:cs="David"/>
          <w:b/>
          <w:sz w:val="24"/>
          <w:szCs w:val="24"/>
          <w:rtl/>
        </w:rPr>
        <w:t>גבולות התפקיד. כל אלה יכולים לשמש מקור לרכישת הון</w:t>
      </w:r>
      <w:r w:rsidRPr="00F30F41">
        <w:rPr>
          <w:rFonts w:cs="David" w:hint="cs"/>
          <w:b/>
          <w:sz w:val="24"/>
          <w:szCs w:val="24"/>
          <w:rtl/>
        </w:rPr>
        <w:t>,</w:t>
      </w:r>
      <w:r w:rsidRPr="00F30F41">
        <w:rPr>
          <w:rFonts w:cs="David"/>
          <w:b/>
          <w:sz w:val="24"/>
          <w:szCs w:val="24"/>
          <w:rtl/>
        </w:rPr>
        <w:t xml:space="preserve"> לבידול</w:t>
      </w:r>
      <w:r w:rsidRPr="00F30F41">
        <w:rPr>
          <w:rFonts w:cs="David" w:hint="cs"/>
          <w:b/>
          <w:sz w:val="24"/>
          <w:szCs w:val="24"/>
          <w:rtl/>
        </w:rPr>
        <w:t xml:space="preserve"> ולקידום </w:t>
      </w:r>
      <w:r w:rsidRPr="00F30F41">
        <w:rPr>
          <w:rFonts w:cs="David"/>
          <w:b/>
          <w:sz w:val="24"/>
          <w:szCs w:val="24"/>
          <w:rtl/>
        </w:rPr>
        <w:t>מעמד</w:t>
      </w:r>
      <w:r w:rsidRPr="00F30F41">
        <w:rPr>
          <w:rFonts w:cs="David" w:hint="cs"/>
          <w:b/>
          <w:sz w:val="24"/>
          <w:szCs w:val="24"/>
          <w:rtl/>
        </w:rPr>
        <w:t xml:space="preserve">. גורם נוסף הוא </w:t>
      </w:r>
      <w:r w:rsidRPr="00F30F41">
        <w:rPr>
          <w:rFonts w:cs="David"/>
          <w:b/>
          <w:sz w:val="24"/>
          <w:szCs w:val="24"/>
          <w:rtl/>
        </w:rPr>
        <w:t>הדינמיקה בשדות המקצועיים שבהם מתרגמים הסטודנטים, ו</w:t>
      </w:r>
      <w:r w:rsidRPr="00F30F41">
        <w:rPr>
          <w:rFonts w:cs="David" w:hint="cs"/>
          <w:b/>
          <w:sz w:val="24"/>
          <w:szCs w:val="24"/>
          <w:rtl/>
        </w:rPr>
        <w:t xml:space="preserve">בהם הם </w:t>
      </w:r>
      <w:r w:rsidRPr="00F30F41">
        <w:rPr>
          <w:rFonts w:cs="David"/>
          <w:b/>
          <w:sz w:val="24"/>
          <w:szCs w:val="24"/>
          <w:rtl/>
        </w:rPr>
        <w:t>אמורים ליישם את הכלים המוקנים להם בכיתה. מדובר בשדות מקצועיים, חלקם מבוססים היטב, וכולם ממוסדים יחסית לשדה המתורגמנות הקהילתית</w:t>
      </w:r>
      <w:r w:rsidRPr="00F30F41">
        <w:rPr>
          <w:rFonts w:cs="David" w:hint="cs"/>
          <w:b/>
          <w:sz w:val="24"/>
          <w:szCs w:val="24"/>
          <w:rtl/>
        </w:rPr>
        <w:t xml:space="preserve">, שבהם </w:t>
      </w:r>
      <w:r w:rsidRPr="00F30F41">
        <w:rPr>
          <w:rFonts w:cs="David"/>
          <w:b/>
          <w:sz w:val="24"/>
          <w:szCs w:val="24"/>
          <w:rtl/>
        </w:rPr>
        <w:t xml:space="preserve">מתנהלים הסטודנטים מול סוכנים בעלי </w:t>
      </w:r>
      <w:r w:rsidRPr="00F30F41">
        <w:rPr>
          <w:rFonts w:cs="David" w:hint="cs"/>
          <w:b/>
          <w:sz w:val="24"/>
          <w:szCs w:val="24"/>
          <w:rtl/>
        </w:rPr>
        <w:t>עמדות</w:t>
      </w:r>
      <w:r w:rsidRPr="00F30F41">
        <w:rPr>
          <w:rFonts w:cs="David"/>
          <w:b/>
          <w:sz w:val="24"/>
          <w:szCs w:val="24"/>
          <w:rtl/>
        </w:rPr>
        <w:t xml:space="preserve"> יציבות יחסית, וזאת במצב ש</w:t>
      </w:r>
      <w:r w:rsidRPr="00F30F41">
        <w:rPr>
          <w:rFonts w:cs="David" w:hint="cs"/>
          <w:b/>
          <w:sz w:val="24"/>
          <w:szCs w:val="24"/>
          <w:rtl/>
        </w:rPr>
        <w:t xml:space="preserve">בו </w:t>
      </w:r>
      <w:r w:rsidRPr="00F30F41">
        <w:rPr>
          <w:rFonts w:cs="David"/>
          <w:b/>
          <w:sz w:val="24"/>
          <w:szCs w:val="24"/>
          <w:rtl/>
        </w:rPr>
        <w:t>המתורגמנות הקהילתית עדיין איננה ממוסדת והמתורגמנים הקהילתיים עדיין אינם סוכנים לגיטימיים בשד</w:t>
      </w:r>
      <w:r w:rsidRPr="00F30F41">
        <w:rPr>
          <w:rFonts w:cs="David" w:hint="cs"/>
          <w:b/>
          <w:sz w:val="24"/>
          <w:szCs w:val="24"/>
          <w:rtl/>
        </w:rPr>
        <w:t>ה</w:t>
      </w:r>
      <w:r w:rsidRPr="00F30F41">
        <w:rPr>
          <w:rFonts w:cs="David"/>
          <w:b/>
          <w:sz w:val="24"/>
          <w:szCs w:val="24"/>
          <w:rtl/>
        </w:rPr>
        <w:t>. תפקידם של המתורגמנים אינו ברור בהכרח לא רק לסוכני השדה שהסטודנטים מנהלים אתם משא ומתן כדי להיכנס לשדה בצורה מוצלחת בלי לפגוע בהיררכיה הקיימת</w:t>
      </w:r>
      <w:r w:rsidRPr="00F30F41">
        <w:rPr>
          <w:rFonts w:cs="David" w:hint="cs"/>
          <w:b/>
          <w:sz w:val="24"/>
          <w:szCs w:val="24"/>
          <w:rtl/>
        </w:rPr>
        <w:t xml:space="preserve">, אלא גם </w:t>
      </w:r>
      <w:r w:rsidRPr="00F30F41">
        <w:rPr>
          <w:rFonts w:cs="David"/>
          <w:b/>
          <w:sz w:val="24"/>
          <w:szCs w:val="24"/>
          <w:rtl/>
        </w:rPr>
        <w:t>למקבלי השירות</w:t>
      </w:r>
      <w:r w:rsidRPr="00F30F41">
        <w:rPr>
          <w:rFonts w:cs="David" w:hint="cs"/>
          <w:b/>
          <w:sz w:val="24"/>
          <w:szCs w:val="24"/>
          <w:rtl/>
        </w:rPr>
        <w:t xml:space="preserve"> המוחלשים</w:t>
      </w:r>
      <w:r w:rsidRPr="00F30F41">
        <w:rPr>
          <w:rFonts w:cs="David"/>
          <w:b/>
          <w:sz w:val="24"/>
          <w:szCs w:val="24"/>
          <w:rtl/>
        </w:rPr>
        <w:t>, נציגי קבוצות מיעוט</w:t>
      </w:r>
      <w:r w:rsidRPr="00F30F41">
        <w:rPr>
          <w:rFonts w:cs="David" w:hint="cs"/>
          <w:b/>
          <w:sz w:val="24"/>
          <w:szCs w:val="24"/>
          <w:rtl/>
        </w:rPr>
        <w:t xml:space="preserve"> שרוב הסטודנטים משתייכים אליהם,</w:t>
      </w:r>
      <w:r w:rsidRPr="00F30F41">
        <w:rPr>
          <w:rFonts w:cs="David"/>
          <w:b/>
          <w:sz w:val="24"/>
          <w:szCs w:val="24"/>
          <w:rtl/>
        </w:rPr>
        <w:t xml:space="preserve"> שיחסית קל להתבדל מהם</w:t>
      </w:r>
      <w:r w:rsidRPr="00F30F41">
        <w:rPr>
          <w:rFonts w:cs="David" w:hint="cs"/>
          <w:b/>
          <w:sz w:val="24"/>
          <w:szCs w:val="24"/>
          <w:rtl/>
        </w:rPr>
        <w:t xml:space="preserve"> על בסיס הון</w:t>
      </w:r>
      <w:r w:rsidRPr="00F30F41">
        <w:rPr>
          <w:rFonts w:cs="David"/>
          <w:b/>
          <w:sz w:val="24"/>
          <w:szCs w:val="24"/>
          <w:rtl/>
        </w:rPr>
        <w:t xml:space="preserve">. </w:t>
      </w:r>
      <w:r w:rsidRPr="00F30F41">
        <w:rPr>
          <w:rFonts w:cs="David" w:hint="cs"/>
          <w:b/>
          <w:sz w:val="24"/>
          <w:szCs w:val="24"/>
          <w:rtl/>
        </w:rPr>
        <w:t xml:space="preserve">תפקידם של הסטודנטים-מתורגמנים נע על סקאלה שבקצותיה ניטרליות וסנגור, כלומר אי-מעורבות ומעורבות, שקיפות ונראות, תפקיד </w:t>
      </w:r>
      <w:r w:rsidRPr="00F30F41">
        <w:rPr>
          <w:rFonts w:cs="David" w:hint="cs"/>
          <w:b/>
          <w:sz w:val="24"/>
          <w:szCs w:val="24"/>
          <w:rtl/>
        </w:rPr>
        <w:lastRenderedPageBreak/>
        <w:t>סביל ותפקיד פעיל.</w:t>
      </w:r>
      <w:r w:rsidRPr="00F30F41">
        <w:rPr>
          <w:rFonts w:cs="David"/>
          <w:b/>
          <w:sz w:val="24"/>
          <w:szCs w:val="24"/>
          <w:rtl/>
        </w:rPr>
        <w:t xml:space="preserve"> </w:t>
      </w:r>
      <w:r w:rsidRPr="00F30F41">
        <w:rPr>
          <w:rFonts w:cs="David" w:hint="cs"/>
          <w:b/>
          <w:sz w:val="24"/>
          <w:szCs w:val="24"/>
          <w:rtl/>
        </w:rPr>
        <w:t xml:space="preserve">בלי קשר להתמקמות על הסקאלה, הסטודנטים מרבים לתאר את עיסוקם כמתן עזרה, והנכונות לעזור נתפסת כאחת התכונות הנחוצות למתורגמנים קהילתיים </w:t>
      </w:r>
      <w:r w:rsidRPr="00F30F41">
        <w:rPr>
          <w:rFonts w:cs="David"/>
          <w:b/>
          <w:sz w:val="24"/>
          <w:szCs w:val="24"/>
          <w:rtl/>
        </w:rPr>
        <w:t>–</w:t>
      </w:r>
      <w:r w:rsidRPr="00F30F41">
        <w:rPr>
          <w:rFonts w:cs="David" w:hint="cs"/>
          <w:b/>
          <w:sz w:val="24"/>
          <w:szCs w:val="24"/>
          <w:rtl/>
        </w:rPr>
        <w:t xml:space="preserve"> עזרה המונעת על-ידי רגש, בעיקר אמפתיה ורגשות קשים נוכח מצבם של מקבלי השירות, שגורם בסופו של דבר לרגש נוסף, שעיקרו סיפוק. עצם העיסוק במתורגמנות משתווה מבחינתם לעזרה, כלומר לתרגם, בעיני הסטודנטים-מתורגמנים, פירושו לסייע, בהתאם לפעולתם כמתורגמנים טבעיים כחלק מההביטוס הראשוני שלהם.</w:t>
      </w:r>
      <w:bookmarkEnd w:id="1"/>
    </w:p>
    <w:bookmarkEnd w:id="2"/>
    <w:p w14:paraId="2C4F2057" w14:textId="77777777" w:rsidR="00F30F41" w:rsidRPr="00F30F41" w:rsidRDefault="00F30F41" w:rsidP="00F30F41">
      <w:pPr>
        <w:spacing w:after="0" w:line="360" w:lineRule="auto"/>
        <w:ind w:firstLine="720"/>
        <w:jc w:val="both"/>
        <w:rPr>
          <w:rFonts w:cs="David"/>
          <w:b/>
          <w:bCs/>
          <w:sz w:val="24"/>
          <w:szCs w:val="24"/>
          <w:rtl/>
        </w:rPr>
      </w:pPr>
      <w:r w:rsidRPr="00F30F41">
        <w:rPr>
          <w:rFonts w:cs="David"/>
          <w:b/>
          <w:sz w:val="24"/>
          <w:szCs w:val="24"/>
          <w:rtl/>
        </w:rPr>
        <w:t>ההביטוס הראשוני של</w:t>
      </w:r>
      <w:r w:rsidRPr="00F30F41">
        <w:rPr>
          <w:rFonts w:cs="David" w:hint="cs"/>
          <w:b/>
          <w:sz w:val="24"/>
          <w:szCs w:val="24"/>
          <w:rtl/>
        </w:rPr>
        <w:t xml:space="preserve"> הסטודנטים,</w:t>
      </w:r>
      <w:r w:rsidRPr="00F30F41">
        <w:rPr>
          <w:rFonts w:cs="David"/>
          <w:b/>
          <w:sz w:val="24"/>
          <w:szCs w:val="24"/>
          <w:rtl/>
        </w:rPr>
        <w:t xml:space="preserve"> הדינמיקה בשדות המקצועיים שאליהם הם נכנסים כמתורגמנים </w:t>
      </w:r>
      <w:r w:rsidRPr="00F30F41">
        <w:rPr>
          <w:rFonts w:cs="David" w:hint="cs"/>
          <w:b/>
          <w:sz w:val="24"/>
          <w:szCs w:val="24"/>
          <w:rtl/>
        </w:rPr>
        <w:t>ו</w:t>
      </w:r>
      <w:r w:rsidRPr="00F30F41">
        <w:rPr>
          <w:rFonts w:cs="David"/>
          <w:b/>
          <w:sz w:val="24"/>
          <w:szCs w:val="24"/>
          <w:rtl/>
        </w:rPr>
        <w:t>הדינמיקה במהלך ההכשרה במסגרת שדה המתורגמנות הקהילתית הכוללת את הנחיית המנחות והלימודים לצד העמיתים לכיתה</w:t>
      </w:r>
      <w:r w:rsidRPr="00F30F41">
        <w:rPr>
          <w:rFonts w:cs="David" w:hint="cs"/>
          <w:b/>
          <w:sz w:val="24"/>
          <w:szCs w:val="24"/>
          <w:rtl/>
        </w:rPr>
        <w:t xml:space="preserve"> מאתגרים את התגבשות ההביטוס המקצועי של הסטודנטים ומשפיעים על התנהלותם</w:t>
      </w:r>
      <w:r w:rsidRPr="00F30F41">
        <w:rPr>
          <w:rFonts w:cs="David"/>
          <w:b/>
          <w:sz w:val="24"/>
          <w:szCs w:val="24"/>
          <w:rtl/>
        </w:rPr>
        <w:t xml:space="preserve">. כך נפגשים יסודות ה"טבע" עם </w:t>
      </w:r>
      <w:r w:rsidRPr="00F30F41">
        <w:rPr>
          <w:rFonts w:cs="David" w:hint="cs"/>
          <w:b/>
          <w:sz w:val="24"/>
          <w:szCs w:val="24"/>
          <w:rtl/>
        </w:rPr>
        <w:t>ה</w:t>
      </w:r>
      <w:r w:rsidRPr="00F30F41">
        <w:rPr>
          <w:rFonts w:cs="David"/>
          <w:b/>
          <w:sz w:val="24"/>
          <w:szCs w:val="24"/>
          <w:rtl/>
        </w:rPr>
        <w:t>יסודות ה"</w:t>
      </w:r>
      <w:r w:rsidRPr="00F30F41">
        <w:rPr>
          <w:rFonts w:cs="David" w:hint="cs"/>
          <w:b/>
          <w:sz w:val="24"/>
          <w:szCs w:val="24"/>
          <w:rtl/>
        </w:rPr>
        <w:t>נרכשים</w:t>
      </w:r>
      <w:r w:rsidRPr="00F30F41">
        <w:rPr>
          <w:rFonts w:cs="David"/>
          <w:b/>
          <w:sz w:val="24"/>
          <w:szCs w:val="24"/>
          <w:rtl/>
        </w:rPr>
        <w:t>", ובמובן הזה הסטודנטים הנם מתורגמנים טבעיים ש</w:t>
      </w:r>
      <w:r w:rsidRPr="00F30F41">
        <w:rPr>
          <w:rFonts w:cs="David" w:hint="cs"/>
          <w:b/>
          <w:sz w:val="24"/>
          <w:szCs w:val="24"/>
          <w:rtl/>
        </w:rPr>
        <w:t>"</w:t>
      </w:r>
      <w:r w:rsidRPr="00F30F41">
        <w:rPr>
          <w:rFonts w:cs="David"/>
          <w:b/>
          <w:sz w:val="24"/>
          <w:szCs w:val="24"/>
          <w:rtl/>
        </w:rPr>
        <w:t>טופחו</w:t>
      </w:r>
      <w:r w:rsidRPr="00F30F41">
        <w:rPr>
          <w:rFonts w:cs="David" w:hint="cs"/>
          <w:b/>
          <w:sz w:val="24"/>
          <w:szCs w:val="24"/>
          <w:rtl/>
        </w:rPr>
        <w:t>" (</w:t>
      </w:r>
      <w:r w:rsidRPr="00F30F41">
        <w:rPr>
          <w:rFonts w:cs="David"/>
          <w:sz w:val="24"/>
          <w:szCs w:val="24"/>
          <w:rtl/>
        </w:rPr>
        <w:t>"</w:t>
      </w:r>
      <w:r w:rsidRPr="00F30F41">
        <w:rPr>
          <w:rFonts w:cs="David"/>
          <w:sz w:val="24"/>
          <w:szCs w:val="24"/>
        </w:rPr>
        <w:t>nurtured natural</w:t>
      </w:r>
      <w:r w:rsidRPr="00F30F41">
        <w:rPr>
          <w:rFonts w:cs="David"/>
          <w:sz w:val="24"/>
          <w:szCs w:val="24"/>
          <w:rtl/>
        </w:rPr>
        <w:t>"</w:t>
      </w:r>
      <w:r w:rsidRPr="00F30F41">
        <w:rPr>
          <w:rFonts w:cs="David" w:hint="cs"/>
          <w:b/>
          <w:sz w:val="24"/>
          <w:szCs w:val="24"/>
          <w:rtl/>
        </w:rPr>
        <w:t xml:space="preserve">). על אף שקשה </w:t>
      </w:r>
      <w:r w:rsidRPr="00F30F41">
        <w:rPr>
          <w:rFonts w:cs="David"/>
          <w:b/>
          <w:sz w:val="24"/>
          <w:szCs w:val="24"/>
          <w:rtl/>
        </w:rPr>
        <w:t xml:space="preserve">לדבר על עמדה אחידה אחת שתופסים הסטודנטים בשדה המתורגמנות הקהילתית ובשדות המקצועיים, וקשה לדבר על הביטוס אחד שלהם, </w:t>
      </w:r>
      <w:proofErr w:type="spellStart"/>
      <w:r w:rsidRPr="00F30F41">
        <w:rPr>
          <w:rFonts w:cs="David"/>
          <w:b/>
          <w:sz w:val="24"/>
          <w:szCs w:val="24"/>
          <w:rtl/>
        </w:rPr>
        <w:t>ההביטוסים</w:t>
      </w:r>
      <w:proofErr w:type="spellEnd"/>
      <w:r w:rsidRPr="00F30F41">
        <w:rPr>
          <w:rFonts w:cs="David"/>
          <w:b/>
          <w:sz w:val="24"/>
          <w:szCs w:val="24"/>
          <w:rtl/>
        </w:rPr>
        <w:t xml:space="preserve"> המקצועיים של</w:t>
      </w:r>
      <w:r w:rsidRPr="00F30F41">
        <w:rPr>
          <w:rFonts w:cs="David" w:hint="cs"/>
          <w:b/>
          <w:sz w:val="24"/>
          <w:szCs w:val="24"/>
          <w:rtl/>
        </w:rPr>
        <w:t>הם</w:t>
      </w:r>
      <w:r w:rsidRPr="00F30F41">
        <w:rPr>
          <w:rFonts w:cs="David"/>
          <w:b/>
          <w:sz w:val="24"/>
          <w:szCs w:val="24"/>
          <w:rtl/>
        </w:rPr>
        <w:t xml:space="preserve"> מקיימים בינם לבין עצמם יחסים הומולוגיים</w:t>
      </w:r>
      <w:r w:rsidRPr="00F30F41">
        <w:rPr>
          <w:rFonts w:cs="David" w:hint="cs"/>
          <w:b/>
          <w:sz w:val="24"/>
          <w:szCs w:val="24"/>
          <w:rtl/>
        </w:rPr>
        <w:t>, לפי הייצוגים העצמיים שהופקו בהקשרים המגבילים אותם</w:t>
      </w:r>
      <w:r w:rsidRPr="00F30F41">
        <w:rPr>
          <w:rFonts w:cs="David"/>
          <w:b/>
          <w:sz w:val="24"/>
          <w:szCs w:val="24"/>
          <w:rtl/>
        </w:rPr>
        <w:t>.</w:t>
      </w:r>
      <w:r w:rsidRPr="00F30F41">
        <w:rPr>
          <w:rFonts w:cs="David" w:hint="cs"/>
          <w:b/>
          <w:sz w:val="24"/>
          <w:szCs w:val="24"/>
          <w:rtl/>
        </w:rPr>
        <w:t xml:space="preserve"> </w:t>
      </w:r>
      <w:bookmarkStart w:id="3" w:name="_Hlk497128181"/>
      <w:r w:rsidRPr="00F30F41">
        <w:rPr>
          <w:rFonts w:cs="David" w:hint="cs"/>
          <w:b/>
          <w:sz w:val="24"/>
          <w:szCs w:val="24"/>
          <w:rtl/>
        </w:rPr>
        <w:t xml:space="preserve">בהקשר המיידי, במסגרת חובות הקורס ותכניתו, </w:t>
      </w:r>
      <w:r w:rsidRPr="00F30F41">
        <w:rPr>
          <w:rFonts w:cs="David"/>
          <w:b/>
          <w:sz w:val="24"/>
          <w:szCs w:val="24"/>
          <w:rtl/>
        </w:rPr>
        <w:t>מ</w:t>
      </w:r>
      <w:r w:rsidRPr="00F30F41">
        <w:rPr>
          <w:rFonts w:cs="David" w:hint="cs"/>
          <w:b/>
          <w:sz w:val="24"/>
          <w:szCs w:val="24"/>
          <w:rtl/>
        </w:rPr>
        <w:t>בטא</w:t>
      </w:r>
      <w:r w:rsidRPr="00F30F41">
        <w:rPr>
          <w:rFonts w:cs="David"/>
          <w:b/>
          <w:sz w:val="24"/>
          <w:szCs w:val="24"/>
          <w:rtl/>
        </w:rPr>
        <w:t xml:space="preserve">ים ומבנים הסטודנטים את התנהלותם ואת האינטראקציה עם סוכנים אחרים </w:t>
      </w:r>
      <w:r w:rsidRPr="00F30F41">
        <w:rPr>
          <w:rFonts w:cs="David" w:hint="cs"/>
          <w:b/>
          <w:sz w:val="24"/>
          <w:szCs w:val="24"/>
          <w:rtl/>
        </w:rPr>
        <w:t>בזמן ו</w:t>
      </w:r>
      <w:r w:rsidRPr="00F30F41">
        <w:rPr>
          <w:rFonts w:cs="David"/>
          <w:b/>
          <w:sz w:val="24"/>
          <w:szCs w:val="24"/>
          <w:rtl/>
        </w:rPr>
        <w:t xml:space="preserve">במקום, הן בכיתה והן בשדות המקצועיים, </w:t>
      </w:r>
      <w:r w:rsidRPr="00F30F41">
        <w:rPr>
          <w:rFonts w:cs="David" w:hint="cs"/>
          <w:b/>
          <w:sz w:val="24"/>
          <w:szCs w:val="24"/>
          <w:rtl/>
        </w:rPr>
        <w:t xml:space="preserve">בפני מנחות הקורס, </w:t>
      </w:r>
      <w:r w:rsidRPr="00F30F41">
        <w:rPr>
          <w:rFonts w:cs="David"/>
          <w:b/>
          <w:sz w:val="24"/>
          <w:szCs w:val="24"/>
          <w:rtl/>
        </w:rPr>
        <w:t xml:space="preserve">סוכנות </w:t>
      </w:r>
      <w:r w:rsidRPr="00F30F41">
        <w:rPr>
          <w:rFonts w:cs="David" w:hint="cs"/>
          <w:b/>
          <w:sz w:val="24"/>
          <w:szCs w:val="24"/>
          <w:rtl/>
        </w:rPr>
        <w:t xml:space="preserve">בעלות הון </w:t>
      </w:r>
      <w:r w:rsidRPr="00F30F41">
        <w:rPr>
          <w:rFonts w:cs="David"/>
          <w:b/>
          <w:sz w:val="24"/>
          <w:szCs w:val="24"/>
          <w:rtl/>
        </w:rPr>
        <w:t>בשדה התרגום</w:t>
      </w:r>
      <w:r w:rsidRPr="00F30F41">
        <w:rPr>
          <w:rFonts w:cs="David" w:hint="cs"/>
          <w:b/>
          <w:sz w:val="24"/>
          <w:szCs w:val="24"/>
          <w:rtl/>
        </w:rPr>
        <w:t>.</w:t>
      </w:r>
      <w:r w:rsidRPr="00F30F41">
        <w:rPr>
          <w:rFonts w:cs="David"/>
          <w:b/>
          <w:sz w:val="24"/>
          <w:szCs w:val="24"/>
          <w:rtl/>
        </w:rPr>
        <w:t xml:space="preserve"> </w:t>
      </w:r>
      <w:bookmarkStart w:id="4" w:name="_Hlk497126983"/>
      <w:r w:rsidRPr="00F30F41">
        <w:rPr>
          <w:rFonts w:cs="David" w:hint="cs"/>
          <w:b/>
          <w:sz w:val="24"/>
          <w:szCs w:val="24"/>
          <w:rtl/>
        </w:rPr>
        <w:t xml:space="preserve">להקשר המקרו חשיבות מכרעת. </w:t>
      </w:r>
      <w:r w:rsidRPr="00F30F41">
        <w:rPr>
          <w:rFonts w:cs="David"/>
          <w:b/>
          <w:sz w:val="24"/>
          <w:szCs w:val="24"/>
          <w:rtl/>
        </w:rPr>
        <w:t>גם אם סטודנטים רבים מייחסים ל</w:t>
      </w:r>
      <w:r w:rsidRPr="00F30F41">
        <w:rPr>
          <w:rFonts w:cs="David" w:hint="cs"/>
          <w:b/>
          <w:sz w:val="24"/>
          <w:szCs w:val="24"/>
          <w:rtl/>
        </w:rPr>
        <w:t xml:space="preserve">ו </w:t>
      </w:r>
      <w:r w:rsidRPr="00F30F41">
        <w:rPr>
          <w:rFonts w:cs="David"/>
          <w:b/>
          <w:sz w:val="24"/>
          <w:szCs w:val="24"/>
          <w:rtl/>
        </w:rPr>
        <w:t>חשיבות, העולה לעתים על חשיבות ההכשרה ב</w:t>
      </w:r>
      <w:r w:rsidRPr="00F30F41">
        <w:rPr>
          <w:rFonts w:cs="David" w:hint="cs"/>
          <w:b/>
          <w:sz w:val="24"/>
          <w:szCs w:val="24"/>
          <w:rtl/>
        </w:rPr>
        <w:t>מתורגמנות קהילתית</w:t>
      </w:r>
      <w:r w:rsidRPr="00F30F41">
        <w:rPr>
          <w:rFonts w:cs="David"/>
          <w:b/>
          <w:sz w:val="24"/>
          <w:szCs w:val="24"/>
          <w:rtl/>
        </w:rPr>
        <w:t xml:space="preserve">, </w:t>
      </w:r>
      <w:r w:rsidRPr="00F30F41">
        <w:rPr>
          <w:rFonts w:cs="David" w:hint="cs"/>
          <w:b/>
          <w:sz w:val="24"/>
          <w:szCs w:val="24"/>
          <w:rtl/>
        </w:rPr>
        <w:t>בייצוגיהם העצמיים הרבים הם מש</w:t>
      </w:r>
      <w:r w:rsidRPr="00F30F41">
        <w:rPr>
          <w:rFonts w:cs="David"/>
          <w:b/>
          <w:sz w:val="24"/>
          <w:szCs w:val="24"/>
          <w:rtl/>
        </w:rPr>
        <w:t>קפים</w:t>
      </w:r>
      <w:r w:rsidRPr="00F30F41">
        <w:rPr>
          <w:rFonts w:cs="David" w:hint="cs"/>
          <w:b/>
          <w:sz w:val="24"/>
          <w:szCs w:val="24"/>
          <w:rtl/>
        </w:rPr>
        <w:t xml:space="preserve"> ו</w:t>
      </w:r>
      <w:r w:rsidRPr="00F30F41">
        <w:rPr>
          <w:rFonts w:cs="David"/>
          <w:b/>
          <w:sz w:val="24"/>
          <w:szCs w:val="24"/>
          <w:rtl/>
        </w:rPr>
        <w:t xml:space="preserve">משעתקים את </w:t>
      </w:r>
      <w:r w:rsidRPr="00F30F41">
        <w:rPr>
          <w:rFonts w:cs="David" w:hint="cs"/>
          <w:b/>
          <w:sz w:val="24"/>
          <w:szCs w:val="24"/>
          <w:rtl/>
        </w:rPr>
        <w:t>מורכבותו: בין היתר, בהתייחס לקבוצות מיעוטים מהגרים וילידיים, להנגשה הלשונית ולמתורגמנות הקהילתית</w:t>
      </w:r>
      <w:r w:rsidRPr="00F30F41">
        <w:rPr>
          <w:rFonts w:cs="David"/>
          <w:b/>
          <w:sz w:val="24"/>
          <w:szCs w:val="24"/>
          <w:rtl/>
        </w:rPr>
        <w:t xml:space="preserve"> </w:t>
      </w:r>
      <w:r w:rsidRPr="00F30F41">
        <w:rPr>
          <w:rFonts w:cs="David" w:hint="cs"/>
          <w:b/>
          <w:sz w:val="24"/>
          <w:szCs w:val="24"/>
          <w:rtl/>
        </w:rPr>
        <w:t>ב</w:t>
      </w:r>
      <w:r w:rsidRPr="00F30F41">
        <w:rPr>
          <w:rFonts w:cs="David"/>
          <w:b/>
          <w:sz w:val="24"/>
          <w:szCs w:val="24"/>
          <w:rtl/>
        </w:rPr>
        <w:t>ישראל רבת התרבויות</w:t>
      </w:r>
      <w:r w:rsidRPr="00F30F41">
        <w:rPr>
          <w:rFonts w:cs="David" w:hint="cs"/>
          <w:b/>
          <w:sz w:val="24"/>
          <w:szCs w:val="24"/>
          <w:rtl/>
        </w:rPr>
        <w:t>.</w:t>
      </w:r>
      <w:r w:rsidRPr="00F30F41">
        <w:rPr>
          <w:rFonts w:cs="David"/>
          <w:b/>
          <w:sz w:val="24"/>
          <w:szCs w:val="24"/>
          <w:rtl/>
        </w:rPr>
        <w:t xml:space="preserve"> </w:t>
      </w:r>
    </w:p>
    <w:p w14:paraId="72986938" w14:textId="77777777" w:rsidR="00F25932" w:rsidRDefault="00F30F41" w:rsidP="00F30F41">
      <w:pPr>
        <w:spacing w:after="0" w:line="360" w:lineRule="auto"/>
        <w:ind w:firstLine="720"/>
        <w:jc w:val="both"/>
        <w:rPr>
          <w:rFonts w:cs="David"/>
          <w:b/>
          <w:bCs/>
          <w:sz w:val="24"/>
          <w:szCs w:val="24"/>
          <w:rtl/>
        </w:rPr>
      </w:pPr>
      <w:bookmarkStart w:id="5" w:name="_Hlk497043662"/>
      <w:bookmarkEnd w:id="3"/>
      <w:bookmarkEnd w:id="4"/>
      <w:r w:rsidRPr="00F30F41">
        <w:rPr>
          <w:rFonts w:cs="David" w:hint="cs"/>
          <w:b/>
          <w:sz w:val="24"/>
          <w:szCs w:val="24"/>
          <w:rtl/>
        </w:rPr>
        <w:t>אמנם ממצאי המחקר הנוכחי תקפים רק לגבי הייצוגים העצמיים של הסטודנטים המשתתפים בקורס "מתורגמנות קהילתית", מקרה מבחן מיוחד, אך ניתן לשער שהתופעות עשויות להתגלות גם בייצוגים עצמיים של מתורגמנים קהילתיים אחרים</w:t>
      </w:r>
      <w:r w:rsidRPr="00F30F41">
        <w:rPr>
          <w:rFonts w:cs="David"/>
          <w:b/>
          <w:sz w:val="24"/>
          <w:szCs w:val="24"/>
          <w:rtl/>
        </w:rPr>
        <w:t xml:space="preserve"> העוברים הכשרה</w:t>
      </w:r>
      <w:r w:rsidRPr="00F30F41">
        <w:rPr>
          <w:rFonts w:cs="David" w:hint="cs"/>
          <w:b/>
          <w:sz w:val="24"/>
          <w:szCs w:val="24"/>
          <w:rtl/>
        </w:rPr>
        <w:t xml:space="preserve"> ומתנהלים </w:t>
      </w:r>
      <w:r w:rsidRPr="00F30F41">
        <w:rPr>
          <w:rFonts w:cs="David"/>
          <w:b/>
          <w:sz w:val="24"/>
          <w:szCs w:val="24"/>
          <w:rtl/>
        </w:rPr>
        <w:t xml:space="preserve">תוך מגעים עם מגוון סוכנים במרחב </w:t>
      </w:r>
      <w:r w:rsidRPr="00F30F41">
        <w:rPr>
          <w:rFonts w:cs="David" w:hint="cs"/>
          <w:b/>
          <w:sz w:val="24"/>
          <w:szCs w:val="24"/>
          <w:rtl/>
        </w:rPr>
        <w:t xml:space="preserve">ובזמן. </w:t>
      </w:r>
      <w:r w:rsidRPr="00F30F41">
        <w:rPr>
          <w:rFonts w:cs="David"/>
          <w:b/>
          <w:sz w:val="24"/>
          <w:szCs w:val="24"/>
          <w:rtl/>
        </w:rPr>
        <w:t xml:space="preserve">במובן רחב, </w:t>
      </w:r>
      <w:r w:rsidRPr="00F30F41">
        <w:rPr>
          <w:rFonts w:cs="David" w:hint="cs"/>
          <w:b/>
          <w:sz w:val="24"/>
          <w:szCs w:val="24"/>
          <w:rtl/>
        </w:rPr>
        <w:t xml:space="preserve">ממצאי המחקר </w:t>
      </w:r>
      <w:r w:rsidRPr="00F30F41">
        <w:rPr>
          <w:rFonts w:cs="David"/>
          <w:b/>
          <w:sz w:val="24"/>
          <w:szCs w:val="24"/>
          <w:rtl/>
        </w:rPr>
        <w:t>יכולים לשפוך אור על מתורגמנות קהילתית</w:t>
      </w:r>
      <w:r w:rsidRPr="00F30F41">
        <w:rPr>
          <w:rFonts w:cs="David" w:hint="cs"/>
          <w:b/>
          <w:sz w:val="24"/>
          <w:szCs w:val="24"/>
          <w:rtl/>
        </w:rPr>
        <w:t xml:space="preserve"> ולהשלים, במידה מסוימת, מחקרים אחרים על מתרגמים ומתורגמנים הנערכים בישראל ובעולם.</w:t>
      </w:r>
      <w:bookmarkEnd w:id="5"/>
    </w:p>
    <w:p w14:paraId="5C096B59" w14:textId="77777777" w:rsidR="00C73A14" w:rsidRDefault="00C73A14" w:rsidP="00C73A14">
      <w:pPr>
        <w:spacing w:after="0" w:line="360" w:lineRule="auto"/>
        <w:ind w:firstLine="720"/>
        <w:jc w:val="both"/>
        <w:rPr>
          <w:rFonts w:cs="David"/>
          <w:b/>
          <w:bCs/>
          <w:sz w:val="24"/>
          <w:szCs w:val="24"/>
          <w:rtl/>
        </w:rPr>
      </w:pPr>
    </w:p>
    <w:p w14:paraId="706825A6" w14:textId="77777777" w:rsidR="00F25932" w:rsidRPr="00F25932" w:rsidRDefault="00F25932" w:rsidP="00F30F41">
      <w:pPr>
        <w:spacing w:after="0" w:line="360" w:lineRule="auto"/>
        <w:rPr>
          <w:rFonts w:cs="David"/>
          <w:sz w:val="24"/>
          <w:szCs w:val="24"/>
        </w:rPr>
      </w:pPr>
      <w:bookmarkStart w:id="6" w:name="_GoBack"/>
      <w:bookmarkEnd w:id="6"/>
    </w:p>
    <w:sectPr w:rsidR="00F25932" w:rsidRPr="00F25932" w:rsidSect="004764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0"/>
        <w:szCs w:val="20"/>
      </w:rPr>
    </w:lvl>
  </w:abstractNum>
  <w:abstractNum w:abstractNumId="1" w15:restartNumberingAfterBreak="0">
    <w:nsid w:val="10000ECD"/>
    <w:multiLevelType w:val="hybridMultilevel"/>
    <w:tmpl w:val="E6E6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15B89"/>
    <w:multiLevelType w:val="hybridMultilevel"/>
    <w:tmpl w:val="AF84D2A4"/>
    <w:lvl w:ilvl="0" w:tplc="0409000F">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3" w15:restartNumberingAfterBreak="0">
    <w:nsid w:val="149D70CF"/>
    <w:multiLevelType w:val="hybridMultilevel"/>
    <w:tmpl w:val="E5523426"/>
    <w:lvl w:ilvl="0" w:tplc="16725248">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55013"/>
    <w:multiLevelType w:val="hybridMultilevel"/>
    <w:tmpl w:val="8CA622DE"/>
    <w:lvl w:ilvl="0" w:tplc="00EA5BDA">
      <w:start w:val="1"/>
      <w:numFmt w:val="decimal"/>
      <w:lvlText w:val="%1."/>
      <w:lvlJc w:val="left"/>
      <w:pPr>
        <w:ind w:left="720" w:hanging="360"/>
      </w:pPr>
      <w:rPr>
        <w:rFonts w:ascii="Arial" w:hAnsi="Arial" w:cs="Davi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05AC"/>
    <w:multiLevelType w:val="hybridMultilevel"/>
    <w:tmpl w:val="9E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D3E"/>
    <w:multiLevelType w:val="hybridMultilevel"/>
    <w:tmpl w:val="3006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A6EBB"/>
    <w:multiLevelType w:val="hybridMultilevel"/>
    <w:tmpl w:val="7D82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54741"/>
    <w:multiLevelType w:val="hybridMultilevel"/>
    <w:tmpl w:val="281C2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337F2"/>
    <w:multiLevelType w:val="hybridMultilevel"/>
    <w:tmpl w:val="2E4C7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B33ED"/>
    <w:multiLevelType w:val="hybridMultilevel"/>
    <w:tmpl w:val="8D74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95AB3"/>
    <w:multiLevelType w:val="hybridMultilevel"/>
    <w:tmpl w:val="24F2D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A1770E"/>
    <w:multiLevelType w:val="hybridMultilevel"/>
    <w:tmpl w:val="852C4F3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3" w15:restartNumberingAfterBreak="0">
    <w:nsid w:val="45DA0765"/>
    <w:multiLevelType w:val="hybridMultilevel"/>
    <w:tmpl w:val="AF2A9562"/>
    <w:lvl w:ilvl="0" w:tplc="78B07040">
      <w:numFmt w:val="bullet"/>
      <w:lvlText w:val="•"/>
      <w:lvlJc w:val="left"/>
      <w:pPr>
        <w:ind w:left="8610" w:hanging="825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091E"/>
    <w:multiLevelType w:val="hybridMultilevel"/>
    <w:tmpl w:val="8E4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6561B"/>
    <w:multiLevelType w:val="hybridMultilevel"/>
    <w:tmpl w:val="41ACD2E0"/>
    <w:lvl w:ilvl="0" w:tplc="0409000F">
      <w:start w:val="1"/>
      <w:numFmt w:val="decimal"/>
      <w:lvlText w:val="%1."/>
      <w:lvlJc w:val="left"/>
      <w:pPr>
        <w:tabs>
          <w:tab w:val="num" w:pos="720"/>
        </w:tabs>
        <w:ind w:left="720" w:hanging="360"/>
      </w:pPr>
      <w:rPr>
        <w:rFonts w:hint="default"/>
      </w:rPr>
    </w:lvl>
    <w:lvl w:ilvl="1" w:tplc="537417D8">
      <w:start w:val="1"/>
      <w:numFmt w:val="hebrew1"/>
      <w:lvlText w:val="%2."/>
      <w:lvlJc w:val="center"/>
      <w:pPr>
        <w:tabs>
          <w:tab w:val="num" w:pos="1440"/>
        </w:tabs>
        <w:ind w:left="1440" w:hanging="360"/>
      </w:pPr>
      <w:rPr>
        <w:rFonts w:hint="default"/>
        <w:lang w:val="en-US"/>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DE05C8"/>
    <w:multiLevelType w:val="hybridMultilevel"/>
    <w:tmpl w:val="6ACC7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B36B59"/>
    <w:multiLevelType w:val="hybridMultilevel"/>
    <w:tmpl w:val="9E3ABFDC"/>
    <w:lvl w:ilvl="0" w:tplc="F15846F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15:restartNumberingAfterBreak="0">
    <w:nsid w:val="55F67975"/>
    <w:multiLevelType w:val="hybridMultilevel"/>
    <w:tmpl w:val="89C256E2"/>
    <w:lvl w:ilvl="0" w:tplc="1B78312A">
      <w:numFmt w:val="bullet"/>
      <w:lvlText w:val=""/>
      <w:lvlJc w:val="left"/>
      <w:pPr>
        <w:ind w:left="900" w:hanging="54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E5F4C"/>
    <w:multiLevelType w:val="hybridMultilevel"/>
    <w:tmpl w:val="6D1E8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454BF"/>
    <w:multiLevelType w:val="hybridMultilevel"/>
    <w:tmpl w:val="7FFA0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7597C"/>
    <w:multiLevelType w:val="hybridMultilevel"/>
    <w:tmpl w:val="7AF22156"/>
    <w:lvl w:ilvl="0" w:tplc="FD705AC0">
      <w:start w:val="1"/>
      <w:numFmt w:val="bullet"/>
      <w:lvlText w:val=""/>
      <w:lvlJc w:val="center"/>
      <w:pPr>
        <w:tabs>
          <w:tab w:val="num" w:pos="720"/>
        </w:tabs>
        <w:ind w:left="473" w:right="473" w:hanging="113"/>
      </w:pPr>
      <w:rPr>
        <w:rFonts w:ascii="Wingdings" w:hAnsi="Wingdings" w:hint="default"/>
        <w:color w:val="0000FF"/>
        <w:sz w:val="14"/>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5B8A0E32"/>
    <w:multiLevelType w:val="hybridMultilevel"/>
    <w:tmpl w:val="A09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B257F"/>
    <w:multiLevelType w:val="hybridMultilevel"/>
    <w:tmpl w:val="8A9A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86F78"/>
    <w:multiLevelType w:val="hybridMultilevel"/>
    <w:tmpl w:val="41EC59E2"/>
    <w:lvl w:ilvl="0" w:tplc="FD705AC0">
      <w:start w:val="1"/>
      <w:numFmt w:val="bullet"/>
      <w:lvlText w:val=""/>
      <w:lvlJc w:val="center"/>
      <w:pPr>
        <w:tabs>
          <w:tab w:val="num" w:pos="720"/>
        </w:tabs>
        <w:ind w:left="473" w:right="473" w:hanging="113"/>
      </w:pPr>
      <w:rPr>
        <w:rFonts w:ascii="Wingdings" w:hAnsi="Wingdings" w:hint="default"/>
        <w:color w:val="0000FF"/>
        <w:sz w:val="14"/>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69FB157F"/>
    <w:multiLevelType w:val="hybridMultilevel"/>
    <w:tmpl w:val="D3C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A15C4"/>
    <w:multiLevelType w:val="hybridMultilevel"/>
    <w:tmpl w:val="5744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774CA"/>
    <w:multiLevelType w:val="hybridMultilevel"/>
    <w:tmpl w:val="D62E3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723FA0"/>
    <w:multiLevelType w:val="hybridMultilevel"/>
    <w:tmpl w:val="4956FD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FCD4001"/>
    <w:multiLevelType w:val="hybridMultilevel"/>
    <w:tmpl w:val="2E6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0"/>
  </w:num>
  <w:num w:numId="4">
    <w:abstractNumId w:val="13"/>
  </w:num>
  <w:num w:numId="5">
    <w:abstractNumId w:val="0"/>
  </w:num>
  <w:num w:numId="6">
    <w:abstractNumId w:val="7"/>
  </w:num>
  <w:num w:numId="7">
    <w:abstractNumId w:val="22"/>
  </w:num>
  <w:num w:numId="8">
    <w:abstractNumId w:val="1"/>
  </w:num>
  <w:num w:numId="9">
    <w:abstractNumId w:val="25"/>
  </w:num>
  <w:num w:numId="10">
    <w:abstractNumId w:val="14"/>
  </w:num>
  <w:num w:numId="11">
    <w:abstractNumId w:val="6"/>
  </w:num>
  <w:num w:numId="12">
    <w:abstractNumId w:val="29"/>
  </w:num>
  <w:num w:numId="13">
    <w:abstractNumId w:val="26"/>
  </w:num>
  <w:num w:numId="14">
    <w:abstractNumId w:val="4"/>
  </w:num>
  <w:num w:numId="15">
    <w:abstractNumId w:val="2"/>
  </w:num>
  <w:num w:numId="16">
    <w:abstractNumId w:val="16"/>
  </w:num>
  <w:num w:numId="17">
    <w:abstractNumId w:val="9"/>
  </w:num>
  <w:num w:numId="18">
    <w:abstractNumId w:val="27"/>
  </w:num>
  <w:num w:numId="19">
    <w:abstractNumId w:val="11"/>
  </w:num>
  <w:num w:numId="20">
    <w:abstractNumId w:val="3"/>
  </w:num>
  <w:num w:numId="21">
    <w:abstractNumId w:val="18"/>
  </w:num>
  <w:num w:numId="22">
    <w:abstractNumId w:val="23"/>
  </w:num>
  <w:num w:numId="23">
    <w:abstractNumId w:val="20"/>
  </w:num>
  <w:num w:numId="24">
    <w:abstractNumId w:val="17"/>
  </w:num>
  <w:num w:numId="25">
    <w:abstractNumId w:val="24"/>
  </w:num>
  <w:num w:numId="26">
    <w:abstractNumId w:val="21"/>
  </w:num>
  <w:num w:numId="27">
    <w:abstractNumId w:val="8"/>
  </w:num>
  <w:num w:numId="28">
    <w:abstractNumId w:val="1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99"/>
    <w:rsid w:val="00011A6E"/>
    <w:rsid w:val="00103E23"/>
    <w:rsid w:val="00210A91"/>
    <w:rsid w:val="00476418"/>
    <w:rsid w:val="00716217"/>
    <w:rsid w:val="00771631"/>
    <w:rsid w:val="00B34E29"/>
    <w:rsid w:val="00B377F8"/>
    <w:rsid w:val="00C73A14"/>
    <w:rsid w:val="00C84B04"/>
    <w:rsid w:val="00C9121A"/>
    <w:rsid w:val="00D13F5E"/>
    <w:rsid w:val="00D76804"/>
    <w:rsid w:val="00F12F99"/>
    <w:rsid w:val="00F25932"/>
    <w:rsid w:val="00F30F41"/>
    <w:rsid w:val="00FC4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D746"/>
  <w15:chartTrackingRefBased/>
  <w15:docId w15:val="{2D47546B-1BE8-4D0B-9F5A-249F723B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25932"/>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25932"/>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25932"/>
    <w:pPr>
      <w:keepNext/>
      <w:keepLines/>
      <w:spacing w:before="200" w:after="0" w:line="240"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25932"/>
    <w:pPr>
      <w:keepNext/>
      <w:keepLines/>
      <w:spacing w:before="200" w:after="0" w:line="240"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F25932"/>
    <w:pPr>
      <w:keepNext/>
      <w:keepLines/>
      <w:spacing w:before="200" w:after="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25932"/>
    <w:pPr>
      <w:keepNext/>
      <w:keepLines/>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F25932"/>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93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2593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2593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2593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F2593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2593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F2593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F25932"/>
    <w:pPr>
      <w:spacing w:after="240" w:line="240" w:lineRule="auto"/>
      <w:ind w:left="720"/>
      <w:contextualSpacing/>
    </w:pPr>
    <w:rPr>
      <w:rFonts w:ascii="Calibri" w:eastAsia="Calibri" w:hAnsi="Calibri" w:cs="Arial"/>
    </w:rPr>
  </w:style>
  <w:style w:type="paragraph" w:styleId="FootnoteText">
    <w:name w:val="footnote text"/>
    <w:basedOn w:val="Normal"/>
    <w:link w:val="FootnoteTextChar"/>
    <w:uiPriority w:val="99"/>
    <w:unhideWhenUsed/>
    <w:rsid w:val="00F2593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25932"/>
    <w:rPr>
      <w:rFonts w:ascii="Calibri" w:eastAsia="Calibri" w:hAnsi="Calibri" w:cs="Arial"/>
      <w:sz w:val="20"/>
      <w:szCs w:val="20"/>
    </w:rPr>
  </w:style>
  <w:style w:type="character" w:styleId="FootnoteReference">
    <w:name w:val="footnote reference"/>
    <w:basedOn w:val="DefaultParagraphFont"/>
    <w:uiPriority w:val="99"/>
    <w:unhideWhenUsed/>
    <w:rsid w:val="00F25932"/>
    <w:rPr>
      <w:vertAlign w:val="superscript"/>
    </w:rPr>
  </w:style>
  <w:style w:type="paragraph" w:styleId="Header">
    <w:name w:val="header"/>
    <w:basedOn w:val="Normal"/>
    <w:link w:val="HeaderChar"/>
    <w:uiPriority w:val="99"/>
    <w:unhideWhenUsed/>
    <w:rsid w:val="00F25932"/>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F25932"/>
    <w:rPr>
      <w:rFonts w:ascii="Calibri" w:eastAsia="Calibri" w:hAnsi="Calibri" w:cs="Arial"/>
    </w:rPr>
  </w:style>
  <w:style w:type="paragraph" w:styleId="Footer">
    <w:name w:val="footer"/>
    <w:basedOn w:val="Normal"/>
    <w:link w:val="FooterChar"/>
    <w:uiPriority w:val="99"/>
    <w:unhideWhenUsed/>
    <w:rsid w:val="00F25932"/>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F25932"/>
    <w:rPr>
      <w:rFonts w:ascii="Calibri" w:eastAsia="Calibri" w:hAnsi="Calibri" w:cs="Arial"/>
    </w:rPr>
  </w:style>
  <w:style w:type="paragraph" w:customStyle="1" w:styleId="Normal1">
    <w:name w:val="Normal1"/>
    <w:rsid w:val="00F25932"/>
    <w:pPr>
      <w:suppressAutoHyphens/>
      <w:bidi/>
      <w:spacing w:after="200" w:line="276" w:lineRule="auto"/>
      <w:jc w:val="right"/>
      <w:textAlignment w:val="baseline"/>
    </w:pPr>
    <w:rPr>
      <w:rFonts w:ascii="Calibri" w:eastAsia="Droid Sans Fallback" w:hAnsi="Calibri" w:cs="Calibri"/>
    </w:rPr>
  </w:style>
  <w:style w:type="character" w:styleId="EndnoteReference">
    <w:name w:val="endnote reference"/>
    <w:basedOn w:val="DefaultParagraphFont"/>
    <w:uiPriority w:val="99"/>
    <w:rsid w:val="00F25932"/>
    <w:rPr>
      <w:vertAlign w:val="superscript"/>
    </w:rPr>
  </w:style>
  <w:style w:type="character" w:styleId="Hyperlink">
    <w:name w:val="Hyperlink"/>
    <w:basedOn w:val="DefaultParagraphFont"/>
    <w:uiPriority w:val="99"/>
    <w:unhideWhenUsed/>
    <w:rsid w:val="00F25932"/>
    <w:rPr>
      <w:color w:val="0563C1" w:themeColor="hyperlink"/>
      <w:u w:val="single"/>
    </w:rPr>
  </w:style>
  <w:style w:type="paragraph" w:styleId="BalloonText">
    <w:name w:val="Balloon Text"/>
    <w:basedOn w:val="Normal"/>
    <w:link w:val="BalloonTextChar"/>
    <w:uiPriority w:val="99"/>
    <w:semiHidden/>
    <w:unhideWhenUsed/>
    <w:rsid w:val="00F2593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5932"/>
    <w:rPr>
      <w:rFonts w:ascii="Tahoma" w:eastAsia="Calibri" w:hAnsi="Tahoma" w:cs="Tahoma"/>
      <w:sz w:val="16"/>
      <w:szCs w:val="16"/>
    </w:rPr>
  </w:style>
  <w:style w:type="character" w:styleId="CommentReference">
    <w:name w:val="annotation reference"/>
    <w:basedOn w:val="DefaultParagraphFont"/>
    <w:uiPriority w:val="99"/>
    <w:rsid w:val="00F25932"/>
    <w:rPr>
      <w:sz w:val="16"/>
      <w:szCs w:val="16"/>
    </w:rPr>
  </w:style>
  <w:style w:type="paragraph" w:styleId="CommentText">
    <w:name w:val="annotation text"/>
    <w:basedOn w:val="Normal"/>
    <w:link w:val="CommentTextChar"/>
    <w:uiPriority w:val="99"/>
    <w:semiHidden/>
    <w:unhideWhenUsed/>
    <w:rsid w:val="00F25932"/>
    <w:pPr>
      <w:bidi w:val="0"/>
      <w:spacing w:after="0" w:line="240" w:lineRule="auto"/>
      <w:textAlignment w:val="baseline"/>
    </w:pPr>
    <w:rPr>
      <w:rFonts w:ascii="Calibri" w:eastAsia="Droid Sans Fallback" w:hAnsi="Calibri" w:cs="Calibri"/>
      <w:sz w:val="20"/>
      <w:szCs w:val="20"/>
    </w:rPr>
  </w:style>
  <w:style w:type="character" w:customStyle="1" w:styleId="CommentTextChar">
    <w:name w:val="Comment Text Char"/>
    <w:basedOn w:val="DefaultParagraphFont"/>
    <w:link w:val="CommentText"/>
    <w:uiPriority w:val="99"/>
    <w:semiHidden/>
    <w:rsid w:val="00F25932"/>
    <w:rPr>
      <w:rFonts w:ascii="Calibri" w:eastAsia="Droid Sans Fallback" w:hAnsi="Calibri" w:cs="Calibri"/>
      <w:sz w:val="20"/>
      <w:szCs w:val="20"/>
    </w:rPr>
  </w:style>
  <w:style w:type="paragraph" w:styleId="CommentSubject">
    <w:name w:val="annotation subject"/>
    <w:basedOn w:val="CommentText"/>
    <w:next w:val="CommentText"/>
    <w:link w:val="CommentSubjectChar"/>
    <w:uiPriority w:val="99"/>
    <w:semiHidden/>
    <w:unhideWhenUsed/>
    <w:rsid w:val="00F25932"/>
    <w:pPr>
      <w:bidi/>
      <w:spacing w:after="240"/>
      <w:textAlignment w:val="auto"/>
    </w:pPr>
    <w:rPr>
      <w:rFonts w:eastAsia="Calibri" w:cs="Arial"/>
      <w:b/>
      <w:bCs/>
    </w:rPr>
  </w:style>
  <w:style w:type="character" w:customStyle="1" w:styleId="CommentSubjectChar">
    <w:name w:val="Comment Subject Char"/>
    <w:basedOn w:val="CommentTextChar"/>
    <w:link w:val="CommentSubject"/>
    <w:uiPriority w:val="99"/>
    <w:semiHidden/>
    <w:rsid w:val="00F25932"/>
    <w:rPr>
      <w:rFonts w:ascii="Calibri" w:eastAsia="Calibri" w:hAnsi="Calibri" w:cs="Arial"/>
      <w:b/>
      <w:bCs/>
      <w:sz w:val="20"/>
      <w:szCs w:val="20"/>
    </w:rPr>
  </w:style>
  <w:style w:type="table" w:styleId="TableGrid">
    <w:name w:val="Table Grid"/>
    <w:basedOn w:val="TableNormal"/>
    <w:uiPriority w:val="59"/>
    <w:rsid w:val="00F2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932"/>
    <w:pPr>
      <w:bidi/>
      <w:spacing w:after="0" w:line="240" w:lineRule="auto"/>
    </w:pPr>
    <w:rPr>
      <w:rFonts w:ascii="Calibri" w:eastAsia="Calibri" w:hAnsi="Calibri" w:cs="Arial"/>
    </w:rPr>
  </w:style>
  <w:style w:type="paragraph" w:styleId="EndnoteText">
    <w:name w:val="endnote text"/>
    <w:basedOn w:val="Normal"/>
    <w:link w:val="EndnoteTextChar"/>
    <w:uiPriority w:val="99"/>
    <w:semiHidden/>
    <w:unhideWhenUsed/>
    <w:rsid w:val="00F25932"/>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F25932"/>
    <w:rPr>
      <w:rFonts w:ascii="Calibri" w:eastAsia="Calibri" w:hAnsi="Calibri" w:cs="Arial"/>
      <w:sz w:val="20"/>
      <w:szCs w:val="20"/>
    </w:rPr>
  </w:style>
  <w:style w:type="paragraph" w:styleId="Revision">
    <w:name w:val="Revision"/>
    <w:hidden/>
    <w:uiPriority w:val="99"/>
    <w:semiHidden/>
    <w:rsid w:val="00F25932"/>
    <w:pPr>
      <w:spacing w:after="0" w:line="240" w:lineRule="auto"/>
    </w:pPr>
    <w:rPr>
      <w:rFonts w:ascii="Calibri" w:eastAsia="Calibri" w:hAnsi="Calibri" w:cs="Arial"/>
    </w:rPr>
  </w:style>
  <w:style w:type="table" w:customStyle="1" w:styleId="TableGrid11">
    <w:name w:val="Table Grid11"/>
    <w:basedOn w:val="TableNormal"/>
    <w:next w:val="TableGrid"/>
    <w:uiPriority w:val="59"/>
    <w:rsid w:val="00F2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הזכר1"/>
    <w:basedOn w:val="DefaultParagraphFont"/>
    <w:uiPriority w:val="99"/>
    <w:semiHidden/>
    <w:unhideWhenUsed/>
    <w:rsid w:val="00F25932"/>
    <w:rPr>
      <w:color w:val="2B579A"/>
      <w:shd w:val="clear" w:color="auto" w:fill="E6E6E6"/>
    </w:rPr>
  </w:style>
  <w:style w:type="character" w:styleId="FollowedHyperlink">
    <w:name w:val="FollowedHyperlink"/>
    <w:basedOn w:val="DefaultParagraphFont"/>
    <w:uiPriority w:val="99"/>
    <w:semiHidden/>
    <w:unhideWhenUsed/>
    <w:rsid w:val="00F25932"/>
    <w:rPr>
      <w:color w:val="954F72" w:themeColor="followedHyperlink"/>
      <w:u w:val="single"/>
    </w:rPr>
  </w:style>
  <w:style w:type="paragraph" w:styleId="TOCHeading">
    <w:name w:val="TOC Heading"/>
    <w:basedOn w:val="Heading1"/>
    <w:next w:val="Normal"/>
    <w:uiPriority w:val="39"/>
    <w:unhideWhenUsed/>
    <w:qFormat/>
    <w:rsid w:val="00F25932"/>
    <w:pPr>
      <w:bidi w:val="0"/>
      <w:spacing w:before="240" w:line="259" w:lineRule="auto"/>
      <w:outlineLvl w:val="9"/>
    </w:pPr>
    <w:rPr>
      <w:b w:val="0"/>
      <w:bCs w:val="0"/>
      <w:sz w:val="32"/>
      <w:szCs w:val="32"/>
      <w:lang w:bidi="ar-SA"/>
    </w:rPr>
  </w:style>
  <w:style w:type="paragraph" w:styleId="TOC1">
    <w:name w:val="toc 1"/>
    <w:basedOn w:val="Normal"/>
    <w:next w:val="Normal"/>
    <w:autoRedefine/>
    <w:uiPriority w:val="39"/>
    <w:unhideWhenUsed/>
    <w:rsid w:val="00F25932"/>
    <w:pPr>
      <w:tabs>
        <w:tab w:val="right" w:leader="dot" w:pos="8255"/>
      </w:tabs>
      <w:spacing w:after="100" w:line="240" w:lineRule="auto"/>
    </w:pPr>
    <w:rPr>
      <w:rFonts w:ascii="Calibri" w:eastAsia="Calibri" w:hAnsi="Calibri" w:cs="Arial"/>
    </w:rPr>
  </w:style>
  <w:style w:type="paragraph" w:styleId="TOC2">
    <w:name w:val="toc 2"/>
    <w:basedOn w:val="Normal"/>
    <w:next w:val="Normal"/>
    <w:autoRedefine/>
    <w:uiPriority w:val="39"/>
    <w:unhideWhenUsed/>
    <w:rsid w:val="00F25932"/>
    <w:pPr>
      <w:spacing w:after="100" w:line="240" w:lineRule="auto"/>
      <w:ind w:left="220"/>
    </w:pPr>
    <w:rPr>
      <w:rFonts w:ascii="Calibri" w:eastAsia="Calibri" w:hAnsi="Calibri" w:cs="Arial"/>
    </w:rPr>
  </w:style>
  <w:style w:type="paragraph" w:styleId="TOC3">
    <w:name w:val="toc 3"/>
    <w:basedOn w:val="Normal"/>
    <w:next w:val="Normal"/>
    <w:autoRedefine/>
    <w:uiPriority w:val="39"/>
    <w:unhideWhenUsed/>
    <w:rsid w:val="00F25932"/>
    <w:pPr>
      <w:spacing w:after="100" w:line="240" w:lineRule="auto"/>
      <w:ind w:left="440"/>
    </w:pPr>
    <w:rPr>
      <w:rFonts w:ascii="Calibri" w:eastAsia="Calibri" w:hAnsi="Calibri" w:cs="Arial"/>
    </w:rPr>
  </w:style>
  <w:style w:type="paragraph" w:styleId="TOC4">
    <w:name w:val="toc 4"/>
    <w:basedOn w:val="Normal"/>
    <w:next w:val="Normal"/>
    <w:autoRedefine/>
    <w:uiPriority w:val="39"/>
    <w:unhideWhenUsed/>
    <w:rsid w:val="00F25932"/>
    <w:pPr>
      <w:spacing w:after="100" w:line="240" w:lineRule="auto"/>
      <w:ind w:left="660"/>
    </w:pPr>
    <w:rPr>
      <w:rFonts w:ascii="Calibri" w:eastAsia="Calibri" w:hAnsi="Calibri" w:cs="Arial"/>
    </w:rPr>
  </w:style>
  <w:style w:type="paragraph" w:styleId="TOC5">
    <w:name w:val="toc 5"/>
    <w:basedOn w:val="Normal"/>
    <w:next w:val="Normal"/>
    <w:autoRedefine/>
    <w:uiPriority w:val="39"/>
    <w:unhideWhenUsed/>
    <w:rsid w:val="00F25932"/>
    <w:pPr>
      <w:spacing w:after="100" w:line="240" w:lineRule="auto"/>
      <w:ind w:left="880"/>
    </w:pPr>
    <w:rPr>
      <w:rFonts w:ascii="Calibri" w:eastAsia="Calibri" w:hAnsi="Calibri" w:cs="Arial"/>
    </w:rPr>
  </w:style>
  <w:style w:type="paragraph" w:styleId="TOC6">
    <w:name w:val="toc 6"/>
    <w:basedOn w:val="Normal"/>
    <w:next w:val="Normal"/>
    <w:autoRedefine/>
    <w:uiPriority w:val="39"/>
    <w:unhideWhenUsed/>
    <w:rsid w:val="00F25932"/>
    <w:pPr>
      <w:spacing w:after="100" w:line="240" w:lineRule="auto"/>
      <w:ind w:left="1100"/>
    </w:pPr>
    <w:rPr>
      <w:rFonts w:ascii="Calibri" w:eastAsia="Calibri" w:hAnsi="Calibri" w:cs="Arial"/>
    </w:rPr>
  </w:style>
  <w:style w:type="paragraph" w:styleId="TOC7">
    <w:name w:val="toc 7"/>
    <w:basedOn w:val="Normal"/>
    <w:next w:val="Normal"/>
    <w:autoRedefine/>
    <w:uiPriority w:val="39"/>
    <w:unhideWhenUsed/>
    <w:rsid w:val="00F25932"/>
    <w:pPr>
      <w:spacing w:after="100"/>
      <w:ind w:left="1320"/>
    </w:pPr>
    <w:rPr>
      <w:rFonts w:eastAsiaTheme="minorEastAsia"/>
    </w:rPr>
  </w:style>
  <w:style w:type="paragraph" w:styleId="TOC8">
    <w:name w:val="toc 8"/>
    <w:basedOn w:val="Normal"/>
    <w:next w:val="Normal"/>
    <w:autoRedefine/>
    <w:uiPriority w:val="39"/>
    <w:unhideWhenUsed/>
    <w:rsid w:val="00F25932"/>
    <w:pPr>
      <w:spacing w:after="100"/>
      <w:ind w:left="1540"/>
    </w:pPr>
    <w:rPr>
      <w:rFonts w:eastAsiaTheme="minorEastAsia"/>
    </w:rPr>
  </w:style>
  <w:style w:type="paragraph" w:styleId="TOC9">
    <w:name w:val="toc 9"/>
    <w:basedOn w:val="Normal"/>
    <w:next w:val="Normal"/>
    <w:autoRedefine/>
    <w:uiPriority w:val="39"/>
    <w:unhideWhenUsed/>
    <w:rsid w:val="00F25932"/>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F25932"/>
    <w:rPr>
      <w:color w:val="808080"/>
      <w:shd w:val="clear" w:color="auto" w:fill="E6E6E6"/>
    </w:rPr>
  </w:style>
  <w:style w:type="paragraph" w:customStyle="1" w:styleId="msolistparagraph0">
    <w:name w:val="msolistparagraph"/>
    <w:basedOn w:val="Normal"/>
    <w:rsid w:val="00F25932"/>
    <w:pPr>
      <w:spacing w:after="0" w:line="240" w:lineRule="auto"/>
      <w:ind w:left="720"/>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F25932"/>
  </w:style>
  <w:style w:type="character" w:styleId="UnresolvedMention">
    <w:name w:val="Unresolved Mention"/>
    <w:basedOn w:val="DefaultParagraphFont"/>
    <w:uiPriority w:val="99"/>
    <w:semiHidden/>
    <w:unhideWhenUsed/>
    <w:rsid w:val="00F259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6371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2020-04-11T14:34:00Z</dcterms:created>
  <dcterms:modified xsi:type="dcterms:W3CDTF">2020-04-11T14:36:00Z</dcterms:modified>
</cp:coreProperties>
</file>